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0" w:rsidRPr="000D7200" w:rsidRDefault="000D7200" w:rsidP="000D7200">
      <w:pPr>
        <w:widowControl w:val="0"/>
        <w:suppressLineNumbers/>
        <w:tabs>
          <w:tab w:val="left" w:pos="720"/>
        </w:tabs>
        <w:suppressAutoHyphens/>
        <w:spacing w:after="283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200">
        <w:rPr>
          <w:rFonts w:ascii="Times New Roman" w:eastAsia="Lucida Sans Unicode" w:hAnsi="Times New Roman" w:cs="Times New Roman"/>
          <w:sz w:val="24"/>
          <w:szCs w:val="20"/>
          <w:lang w:eastAsia="ar-SA"/>
        </w:rPr>
        <w:t xml:space="preserve">Образец на оферта - </w:t>
      </w:r>
      <w:r w:rsidRPr="000D7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0D7200" w:rsidRPr="000D7200" w:rsidRDefault="000D7200" w:rsidP="000D7200">
      <w:pPr>
        <w:tabs>
          <w:tab w:val="left" w:pos="2533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253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imes New Roman"/>
          <w:sz w:val="20"/>
          <w:szCs w:val="20"/>
          <w:lang w:eastAsia="ar-SA"/>
        </w:rPr>
        <w:t>/наименование на банката/</w:t>
      </w:r>
    </w:p>
    <w:p w:rsidR="000D7200" w:rsidRPr="000D7200" w:rsidRDefault="000D7200" w:rsidP="000D7200">
      <w:pPr>
        <w:tabs>
          <w:tab w:val="left" w:pos="253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253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7200" w:rsidRPr="000D7200" w:rsidRDefault="000D7200" w:rsidP="000D7200">
      <w:pPr>
        <w:spacing w:after="0" w:line="100" w:lineRule="atLeast"/>
        <w:rPr>
          <w:rFonts w:ascii="Times New Roman" w:eastAsia="Times New Roman" w:hAnsi="Times New Roman" w:cs="Tahoma"/>
          <w:lang w:eastAsia="ar-SA"/>
        </w:rPr>
      </w:pPr>
      <w:r w:rsidRPr="000D7200">
        <w:rPr>
          <w:rFonts w:ascii="Times New Roman" w:eastAsia="Times New Roman" w:hAnsi="Times New Roman" w:cs="Tahoma"/>
          <w:lang w:eastAsia="ar-SA"/>
        </w:rPr>
        <w:t xml:space="preserve">                                                                              ДО </w:t>
      </w:r>
    </w:p>
    <w:p w:rsidR="000D7200" w:rsidRPr="000D7200" w:rsidRDefault="000D7200" w:rsidP="000D7200">
      <w:pPr>
        <w:tabs>
          <w:tab w:val="left" w:pos="6081"/>
        </w:tabs>
        <w:spacing w:after="0" w:line="100" w:lineRule="atLeast"/>
        <w:rPr>
          <w:rFonts w:ascii="Times New Roman" w:eastAsia="Times New Roman" w:hAnsi="Times New Roman" w:cs="Tahoma"/>
          <w:color w:val="000000"/>
          <w:spacing w:val="-3"/>
          <w:lang w:eastAsia="ar-SA"/>
        </w:rPr>
      </w:pPr>
      <w:r w:rsidRPr="000D7200">
        <w:rPr>
          <w:rFonts w:ascii="Times New Roman" w:eastAsia="Times New Roman" w:hAnsi="Times New Roman" w:cs="Tahoma"/>
          <w:lang w:eastAsia="ar-SA"/>
        </w:rPr>
        <w:t xml:space="preserve">                                                                             </w:t>
      </w:r>
      <w:r w:rsidRPr="000D7200">
        <w:rPr>
          <w:rFonts w:ascii="Times New Roman" w:eastAsia="Times New Roman" w:hAnsi="Times New Roman" w:cs="Tahoma"/>
          <w:color w:val="000000"/>
          <w:spacing w:val="-3"/>
          <w:lang w:eastAsia="ar-SA"/>
        </w:rPr>
        <w:t>„ДСБДПЛББ – Царица Йоанна" ЕООД</w:t>
      </w:r>
    </w:p>
    <w:p w:rsidR="000D7200" w:rsidRPr="000D7200" w:rsidRDefault="000D7200" w:rsidP="000D7200">
      <w:pPr>
        <w:tabs>
          <w:tab w:val="left" w:pos="5657"/>
        </w:tabs>
        <w:spacing w:after="0" w:line="100" w:lineRule="atLeast"/>
        <w:rPr>
          <w:rFonts w:ascii="Times New Roman" w:eastAsia="Times New Roman" w:hAnsi="Times New Roman" w:cs="Tahoma"/>
          <w:lang w:eastAsia="ar-SA"/>
        </w:rPr>
      </w:pPr>
      <w:r w:rsidRPr="000D7200">
        <w:rPr>
          <w:rFonts w:ascii="Times New Roman" w:eastAsia="Times New Roman" w:hAnsi="Times New Roman" w:cs="Tahoma"/>
          <w:lang w:eastAsia="ar-SA"/>
        </w:rPr>
        <w:t xml:space="preserve">                                                                               гр. Трявна </w:t>
      </w:r>
    </w:p>
    <w:p w:rsidR="000D7200" w:rsidRPr="000D7200" w:rsidRDefault="000D7200" w:rsidP="000D7200">
      <w:pPr>
        <w:tabs>
          <w:tab w:val="left" w:pos="5657"/>
        </w:tabs>
        <w:spacing w:after="0" w:line="100" w:lineRule="atLeast"/>
        <w:rPr>
          <w:rFonts w:ascii="Times New Roman" w:eastAsia="Times New Roman" w:hAnsi="Times New Roman" w:cs="Tahoma"/>
          <w:lang w:eastAsia="ar-SA"/>
        </w:rPr>
      </w:pPr>
      <w:r w:rsidRPr="000D7200">
        <w:rPr>
          <w:rFonts w:ascii="Times New Roman" w:eastAsia="Times New Roman" w:hAnsi="Times New Roman" w:cs="Tahoma"/>
          <w:lang w:eastAsia="ar-SA"/>
        </w:rPr>
        <w:t xml:space="preserve">                                                                               ул. „Бреза“ № 49</w:t>
      </w:r>
    </w:p>
    <w:p w:rsidR="000D7200" w:rsidRPr="000D7200" w:rsidRDefault="000D7200" w:rsidP="000D7200">
      <w:pPr>
        <w:spacing w:after="0" w:line="100" w:lineRule="atLeast"/>
        <w:jc w:val="center"/>
        <w:rPr>
          <w:rFonts w:ascii="Times New Roman" w:eastAsia="Times New Roman" w:hAnsi="Times New Roman" w:cs="Tahoma"/>
          <w:lang w:eastAsia="ar-SA"/>
        </w:rPr>
      </w:pPr>
    </w:p>
    <w:p w:rsidR="000D7200" w:rsidRPr="000D7200" w:rsidRDefault="000D7200" w:rsidP="000D7200">
      <w:pPr>
        <w:spacing w:after="0" w:line="100" w:lineRule="atLeast"/>
        <w:jc w:val="center"/>
        <w:rPr>
          <w:rFonts w:ascii="Times New Roman" w:eastAsia="Times New Roman" w:hAnsi="Times New Roman" w:cs="Tahoma"/>
          <w:lang w:eastAsia="ar-SA"/>
        </w:rPr>
      </w:pPr>
    </w:p>
    <w:p w:rsidR="000D7200" w:rsidRPr="000D7200" w:rsidRDefault="000D7200" w:rsidP="000D7200">
      <w:pPr>
        <w:spacing w:after="0" w:line="100" w:lineRule="atLeast"/>
        <w:jc w:val="center"/>
        <w:rPr>
          <w:rFonts w:ascii="Times New Roman" w:eastAsia="Times New Roman" w:hAnsi="Times New Roman" w:cs="Tahoma"/>
          <w:lang w:eastAsia="ar-SA"/>
        </w:rPr>
      </w:pPr>
      <w:r w:rsidRPr="000D7200">
        <w:rPr>
          <w:rFonts w:ascii="Times New Roman" w:eastAsia="Times New Roman" w:hAnsi="Times New Roman" w:cs="Tahoma"/>
          <w:lang w:eastAsia="ar-SA"/>
        </w:rPr>
        <w:t>ОФЕРТА</w:t>
      </w:r>
    </w:p>
    <w:p w:rsidR="000D7200" w:rsidRPr="000D7200" w:rsidRDefault="000D7200" w:rsidP="000D7200">
      <w:pPr>
        <w:spacing w:after="0" w:line="100" w:lineRule="atLeast"/>
        <w:jc w:val="center"/>
        <w:rPr>
          <w:rFonts w:ascii="Times New Roman" w:eastAsia="Times New Roman" w:hAnsi="Times New Roman" w:cs="Tahoma"/>
          <w:lang w:eastAsia="ar-SA"/>
        </w:rPr>
      </w:pPr>
    </w:p>
    <w:p w:rsidR="000D7200" w:rsidRPr="000D7200" w:rsidRDefault="000D7200" w:rsidP="000D7200">
      <w:pPr>
        <w:spacing w:after="0" w:line="100" w:lineRule="atLeast"/>
        <w:jc w:val="center"/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за участие в процедура за избор на банки, които да извършват финансовите услуги, описани в публичната покана на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>„ДСБДПЛББ – Царица Йоанна" ЕООД и Заповед № РД-07-47/16.10.2013 г.</w:t>
      </w:r>
    </w:p>
    <w:p w:rsidR="000D7200" w:rsidRPr="000D7200" w:rsidRDefault="000D7200" w:rsidP="000D7200">
      <w:pPr>
        <w:spacing w:after="0" w:line="100" w:lineRule="atLeast"/>
        <w:jc w:val="both"/>
        <w:rPr>
          <w:rFonts w:ascii="Times New Roman" w:eastAsia="Times New Roman" w:hAnsi="Times New Roman" w:cs="Tahoma"/>
          <w:lang w:eastAsia="ar-SA"/>
        </w:rPr>
      </w:pPr>
    </w:p>
    <w:p w:rsidR="000D7200" w:rsidRPr="000D7200" w:rsidRDefault="000D7200" w:rsidP="000D7200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      В качеството ми на ........................................................................... /законен представител, пълномощник/ на .................................................................................................................................. заявявам, че желаем да участваме в обявената от Вас процедура за избор на банки, които да извършват финансовите услуги, описани в публичната покана на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>„ДСБДПЛББ – Царица Йоанна" ЕООД и Заповед № РД-07-47/16.10.2013 г.</w:t>
      </w: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Приемаме клаузите на проектодоговора, приложен към поканата за участие в процедурата.</w:t>
      </w: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Предлагаме следните условия за изпълнение на договора: </w:t>
      </w: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По отношение на неколичествените критерии:</w:t>
      </w:r>
    </w:p>
    <w:p w:rsidR="000D7200" w:rsidRPr="000D7200" w:rsidRDefault="000D7200" w:rsidP="000D7200">
      <w:pPr>
        <w:tabs>
          <w:tab w:val="left" w:pos="3099"/>
        </w:tabs>
        <w:spacing w:after="0" w:line="100" w:lineRule="atLeast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widowControl w:val="0"/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100" w:lineRule="atLeast"/>
        <w:ind w:left="144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Надеждност на платформа за интернет банкиране.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="001542FE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 </w:t>
      </w:r>
      <w:bookmarkStart w:id="0" w:name="_GoBack"/>
      <w:bookmarkEnd w:id="0"/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2.    Наличие на офис в гр. Трявна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widowControl w:val="0"/>
        <w:suppressAutoHyphens/>
        <w:autoSpaceDE w:val="0"/>
        <w:spacing w:after="0" w:line="100" w:lineRule="atLeast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3.     Възможност за издаване на дебитни карти с чип-технология</w:t>
      </w:r>
    </w:p>
    <w:p w:rsidR="000D7200" w:rsidRPr="000D7200" w:rsidRDefault="000D7200" w:rsidP="000D7200">
      <w:pPr>
        <w:widowControl w:val="0"/>
        <w:suppressAutoHyphens/>
        <w:autoSpaceDE w:val="0"/>
        <w:spacing w:after="0" w:line="100" w:lineRule="atLeast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widowControl w:val="0"/>
        <w:suppressAutoHyphens/>
        <w:autoSpaceDE w:val="0"/>
        <w:spacing w:after="0" w:line="100" w:lineRule="atLeast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4.    Възможност за овърдрафт по дебитна карта в размер до пет нетни работни заплати</w:t>
      </w:r>
    </w:p>
    <w:p w:rsidR="000D7200" w:rsidRPr="000D7200" w:rsidRDefault="000D7200" w:rsidP="000D7200">
      <w:pPr>
        <w:widowControl w:val="0"/>
        <w:suppressAutoHyphens/>
        <w:autoSpaceDE w:val="0"/>
        <w:spacing w:after="0" w:line="100" w:lineRule="atLeast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 5. Наличие на собствени банкомати – мрежа от над 500 банкомата в основните населени места, включително гр. Трявна.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        6.  Срок за обслужване на плащанията  -  обслужване на плащанията в срок до един работен ден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Да</w:t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</w: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ab/>
        <w:t>Не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center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По отношение на количествените критерии: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center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1 . Месечна такса за обслужване на фирмената разплащателна сметка - ................................ лв.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2. Такса за вътрешнобанков превод от сметката на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 xml:space="preserve">„ДСБДПЛББ – Царица Йоанна" ЕООД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shd w:val="clear" w:color="auto" w:fill="FFFFFF"/>
          <w:lang w:eastAsia="ar-SA"/>
        </w:rPr>
        <w:t>чрез писмено платежно нареждане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 xml:space="preserve"> - ............................ лв.</w:t>
      </w:r>
    </w:p>
    <w:p w:rsidR="000D7200" w:rsidRPr="000D7200" w:rsidRDefault="000D7200" w:rsidP="000D7200">
      <w:pPr>
        <w:widowControl w:val="0"/>
        <w:numPr>
          <w:ilvl w:val="0"/>
          <w:numId w:val="2"/>
        </w:numPr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Такса за междубанков превод от сметката на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 xml:space="preserve">„ДСБДПЛББ – Царица Йоанна" ЕООД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shd w:val="clear" w:color="auto" w:fill="FFFFFF"/>
          <w:lang w:eastAsia="ar-SA"/>
        </w:rPr>
        <w:t>чрез писмено платежно нареждане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 xml:space="preserve"> - ...................... лв.</w:t>
      </w:r>
    </w:p>
    <w:p w:rsidR="000D7200" w:rsidRPr="000D7200" w:rsidRDefault="000D7200" w:rsidP="000D7200">
      <w:pPr>
        <w:widowControl w:val="0"/>
        <w:numPr>
          <w:ilvl w:val="0"/>
          <w:numId w:val="2"/>
        </w:numPr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lastRenderedPageBreak/>
        <w:t>Такса за касови тегления и вноски  - ............................................... лв.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5. Такса за превод на трудови възнаграждения на служители - ............................................ лв.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6. Годишен лихвен процент по разплащателна сметка - .................... %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>7. Годишен лихвен процент по депозитни продукти  ......................... лв.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autoSpaceDE w:val="0"/>
        <w:spacing w:after="0" w:line="100" w:lineRule="atLeast"/>
        <w:ind w:left="360" w:firstLine="349"/>
        <w:jc w:val="both"/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Ангажирани сме в случай, че бъдем  избрани за Изпълнител по настоящата процедура, предложените такси и лихвени проценти да останат непроменени до изтичане срока на договора, който ще сключим с  </w:t>
      </w:r>
      <w:r w:rsidRPr="000D7200">
        <w:rPr>
          <w:rFonts w:ascii="Times New Roman" w:eastAsia="Times New Roman" w:hAnsi="Times New Roman" w:cs="Tahoma"/>
          <w:color w:val="000000"/>
          <w:spacing w:val="-3"/>
          <w:sz w:val="20"/>
          <w:szCs w:val="20"/>
          <w:lang w:eastAsia="ar-SA"/>
        </w:rPr>
        <w:t xml:space="preserve">„ДСБДПЛББ – Царица Йоанна" ЕООД. </w:t>
      </w:r>
    </w:p>
    <w:p w:rsidR="000D7200" w:rsidRPr="000D7200" w:rsidRDefault="000D7200" w:rsidP="000D7200">
      <w:pPr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</w:t>
      </w:r>
    </w:p>
    <w:p w:rsidR="000D7200" w:rsidRPr="000D7200" w:rsidRDefault="000D7200" w:rsidP="000D7200">
      <w:pPr>
        <w:spacing w:after="0" w:line="100" w:lineRule="atLeast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3651"/>
          <w:tab w:val="left" w:pos="6056"/>
          <w:tab w:val="left" w:pos="7817"/>
        </w:tabs>
        <w:spacing w:after="0" w:line="100" w:lineRule="atLeast"/>
        <w:jc w:val="center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0D7200" w:rsidRPr="000D7200" w:rsidRDefault="000D7200" w:rsidP="000D7200">
      <w:pPr>
        <w:tabs>
          <w:tab w:val="left" w:pos="3651"/>
          <w:tab w:val="left" w:pos="6056"/>
          <w:tab w:val="left" w:pos="7817"/>
        </w:tabs>
        <w:spacing w:after="0" w:line="100" w:lineRule="atLeast"/>
        <w:jc w:val="center"/>
        <w:rPr>
          <w:rFonts w:ascii="Times New Roman" w:eastAsia="Times New Roman" w:hAnsi="Times New Roman" w:cs="Tahoma"/>
          <w:bCs/>
          <w:sz w:val="20"/>
          <w:szCs w:val="20"/>
          <w:lang w:eastAsia="ar-SA"/>
        </w:rPr>
      </w:pPr>
      <w:r w:rsidRPr="000D7200">
        <w:rPr>
          <w:rFonts w:ascii="Times New Roman" w:eastAsia="Times New Roman" w:hAnsi="Times New Roman" w:cs="Tahoma"/>
          <w:bCs/>
          <w:sz w:val="20"/>
          <w:szCs w:val="20"/>
          <w:lang w:eastAsia="ar-SA"/>
        </w:rPr>
        <w:t xml:space="preserve">Дата: ......................  </w:t>
      </w:r>
      <w:r w:rsidRPr="000D7200">
        <w:rPr>
          <w:rFonts w:ascii="Times New Roman" w:eastAsia="Times New Roman" w:hAnsi="Times New Roman" w:cs="Tahoma"/>
          <w:bCs/>
          <w:sz w:val="20"/>
          <w:szCs w:val="20"/>
          <w:lang w:val="ru-RU" w:eastAsia="ar-SA"/>
        </w:rPr>
        <w:t xml:space="preserve">                                    </w:t>
      </w:r>
      <w:r w:rsidRPr="000D7200">
        <w:rPr>
          <w:rFonts w:ascii="Times New Roman" w:eastAsia="Times New Roman" w:hAnsi="Times New Roman" w:cs="Tahoma"/>
          <w:bCs/>
          <w:sz w:val="20"/>
          <w:szCs w:val="20"/>
          <w:lang w:val="ru-RU" w:eastAsia="ar-SA"/>
        </w:rPr>
        <w:tab/>
      </w:r>
      <w:r w:rsidRPr="000D7200">
        <w:rPr>
          <w:rFonts w:ascii="Times New Roman" w:eastAsia="Times New Roman" w:hAnsi="Times New Roman" w:cs="Tahoma"/>
          <w:bCs/>
          <w:sz w:val="20"/>
          <w:szCs w:val="20"/>
          <w:lang w:eastAsia="ar-SA"/>
        </w:rPr>
        <w:t>Подпис</w:t>
      </w:r>
      <w:r w:rsidRPr="000D7200">
        <w:rPr>
          <w:rFonts w:ascii="Times New Roman" w:eastAsia="Times New Roman" w:hAnsi="Times New Roman" w:cs="Tahoma"/>
          <w:bCs/>
          <w:sz w:val="20"/>
          <w:szCs w:val="20"/>
          <w:lang w:val="ru-RU" w:eastAsia="ar-SA"/>
        </w:rPr>
        <w:t>:</w:t>
      </w:r>
      <w:r w:rsidRPr="000D7200">
        <w:rPr>
          <w:rFonts w:ascii="Times New Roman" w:eastAsia="Times New Roman" w:hAnsi="Times New Roman" w:cs="Tahoma"/>
          <w:bCs/>
          <w:sz w:val="20"/>
          <w:szCs w:val="20"/>
          <w:lang w:eastAsia="ar-SA"/>
        </w:rPr>
        <w:t xml:space="preserve">  ......................................</w:t>
      </w:r>
    </w:p>
    <w:p w:rsidR="000D7200" w:rsidRPr="000D7200" w:rsidRDefault="000D7200" w:rsidP="000D7200">
      <w:pPr>
        <w:widowControl w:val="0"/>
        <w:tabs>
          <w:tab w:val="left" w:pos="-450"/>
          <w:tab w:val="left" w:pos="2340"/>
        </w:tabs>
        <w:suppressAutoHyphens/>
        <w:spacing w:after="120" w:line="100" w:lineRule="atLeast"/>
        <w:ind w:left="-450"/>
        <w:jc w:val="center"/>
        <w:rPr>
          <w:rFonts w:ascii="Times New Roman" w:eastAsia="Lucida Sans Unicode" w:hAnsi="Times New Roman" w:cs="Times New Roman"/>
          <w:bCs/>
          <w:sz w:val="24"/>
          <w:szCs w:val="24"/>
          <w:lang w:val="ru-RU" w:eastAsia="ar-SA"/>
        </w:rPr>
      </w:pPr>
    </w:p>
    <w:p w:rsidR="009C5B96" w:rsidRDefault="001542FE"/>
    <w:sectPr w:rsidR="009C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A5"/>
    <w:rsid w:val="000D7200"/>
    <w:rsid w:val="001542FE"/>
    <w:rsid w:val="003D65A5"/>
    <w:rsid w:val="003F30E7"/>
    <w:rsid w:val="0066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2013-10-25T09:52:00Z</dcterms:created>
  <dcterms:modified xsi:type="dcterms:W3CDTF">2013-10-25T10:11:00Z</dcterms:modified>
</cp:coreProperties>
</file>