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9D" w:rsidRDefault="00A2179D" w:rsidP="00A2179D">
      <w:pPr>
        <w:jc w:val="center"/>
        <w:rPr>
          <w:b/>
          <w:bCs/>
        </w:rPr>
      </w:pPr>
      <w:r>
        <w:rPr>
          <w:b/>
          <w:bCs/>
        </w:rPr>
        <w:t>П О К А Н А</w:t>
      </w:r>
    </w:p>
    <w:p w:rsidR="001261D4" w:rsidRDefault="001261D4" w:rsidP="00A2179D">
      <w:pPr>
        <w:jc w:val="center"/>
        <w:rPr>
          <w:b/>
          <w:bCs/>
        </w:rPr>
      </w:pPr>
    </w:p>
    <w:p w:rsidR="00A2179D" w:rsidRDefault="00A2179D" w:rsidP="00A2179D">
      <w:pPr>
        <w:jc w:val="center"/>
        <w:rPr>
          <w:b/>
          <w:bCs/>
        </w:rPr>
      </w:pPr>
      <w:r>
        <w:rPr>
          <w:b/>
          <w:bCs/>
        </w:rPr>
        <w:t>ДЕТСКА СПЕЦИАЛИЗИРАНА БОЛНИЦА ЗА ДОЛЕКУВАНЕ И ПРОДЪЛЖИТЕЛНО  ЛЕЧЕНИЕ НА БЕЛОДРОБНИ БОЛЕСТИ - ЦАРИЦА ЙОАННА  ЕООД, гр. Трявна, ул. Бреза 49</w:t>
      </w:r>
    </w:p>
    <w:p w:rsidR="00A2179D" w:rsidRDefault="00A2179D" w:rsidP="00A2179D">
      <w:pPr>
        <w:jc w:val="both"/>
      </w:pPr>
      <w:r>
        <w:t xml:space="preserve"> на основание т. 4 от Приложение № 3 към чл. 13б Правила за избор на изпълнител за предоставяне на финансови  услуги от кредитни или финансови институции от Правилника за реда за упражняване правата на държавата в търговските дружества с държавно участие в капитала, публикувани в ДВ, бр.49 от 2013г. , Заповед № РД-07-35 / 27.06.2013 г . и Заповед № РД-07-47 / 16.10.2013</w:t>
      </w:r>
      <w:r w:rsidR="00BA2A45">
        <w:t xml:space="preserve"> </w:t>
      </w:r>
      <w:r>
        <w:t>г. на Управителя на болницата,</w:t>
      </w:r>
    </w:p>
    <w:p w:rsidR="00A2179D" w:rsidRDefault="00A2179D" w:rsidP="00A2179D">
      <w:pPr>
        <w:jc w:val="center"/>
        <w:rPr>
          <w:b/>
          <w:bCs/>
        </w:rPr>
      </w:pPr>
      <w:r>
        <w:rPr>
          <w:b/>
          <w:bCs/>
        </w:rPr>
        <w:t>КАНИ</w:t>
      </w:r>
    </w:p>
    <w:p w:rsidR="00A2179D" w:rsidRDefault="00A2179D" w:rsidP="00A2179D">
      <w:pPr>
        <w:jc w:val="both"/>
      </w:pPr>
      <w:r>
        <w:t>Всички заинтересовани институции да представят оферта за комплексно банково обслужване на ДСБДПЛББ „ЦАРИЦА ЙОАННА” ЕООД за срок от една година.</w:t>
      </w:r>
    </w:p>
    <w:p w:rsidR="00A2179D" w:rsidRDefault="00A2179D" w:rsidP="00A2179D">
      <w:pPr>
        <w:ind w:firstLine="708"/>
        <w:jc w:val="both"/>
      </w:pPr>
      <w:r>
        <w:rPr>
          <w:b/>
          <w:bCs/>
        </w:rPr>
        <w:t>Вид и характеристика на финансовите услуги</w:t>
      </w:r>
      <w:r>
        <w:t xml:space="preserve">: обслужване на разплащателна сметка, касови операции, парични преводи от сметка на ДСБДПЛББ „ЦАРИЦА ЙОАННА" ЕООД, превод на трудовите възнаграждения на служителите на ДСБДПЛББ „ЦАРИЦА ЙОАННА" ЕООД, </w:t>
      </w:r>
      <w:r>
        <w:rPr>
          <w:rFonts w:eastAsia="Times New Roman" w:cs="Tahoma"/>
        </w:rPr>
        <w:t>интернет банкиране, депозитни продукти за средства на болницата.</w:t>
      </w:r>
      <w:r>
        <w:t xml:space="preserve"> </w:t>
      </w:r>
    </w:p>
    <w:p w:rsidR="00A2179D" w:rsidRDefault="00A2179D" w:rsidP="00A2179D">
      <w:pPr>
        <w:ind w:firstLine="708"/>
        <w:jc w:val="both"/>
        <w:rPr>
          <w:b/>
          <w:bCs/>
        </w:rPr>
      </w:pPr>
      <w:r>
        <w:rPr>
          <w:b/>
          <w:bCs/>
        </w:rPr>
        <w:t>Показатели, относителна тежест и методика за определяне на комплексната оценка:</w:t>
      </w:r>
    </w:p>
    <w:p w:rsidR="00A2179D" w:rsidRDefault="00A2179D" w:rsidP="00A2179D">
      <w:pPr>
        <w:jc w:val="both"/>
      </w:pPr>
      <w:r>
        <w:t>Критерий за оценка на офертите – икономически най-изгодната оферта, при следните показатели описани в Методиката:</w:t>
      </w:r>
    </w:p>
    <w:p w:rsidR="00A2179D" w:rsidRDefault="00A2179D" w:rsidP="00A2179D">
      <w:pPr>
        <w:spacing w:after="120" w:line="100" w:lineRule="atLeast"/>
        <w:ind w:left="709"/>
        <w:jc w:val="both"/>
      </w:pPr>
    </w:p>
    <w:p w:rsidR="00A2179D" w:rsidRDefault="00A2179D" w:rsidP="00A2179D">
      <w:pPr>
        <w:spacing w:after="120" w:line="100" w:lineRule="atLeast"/>
        <w:ind w:firstLine="708"/>
        <w:jc w:val="center"/>
        <w:rPr>
          <w:rFonts w:eastAsia="Times New Roman" w:cs="Tahoma"/>
          <w:b/>
        </w:rPr>
      </w:pPr>
      <w:r>
        <w:rPr>
          <w:rFonts w:eastAsia="Times New Roman" w:cs="Tahoma"/>
          <w:b/>
        </w:rPr>
        <w:t>Методика за определяне на комплексната оценка</w:t>
      </w:r>
    </w:p>
    <w:p w:rsidR="00A2179D" w:rsidRDefault="00A2179D" w:rsidP="00A2179D">
      <w:pPr>
        <w:spacing w:after="120" w:line="100" w:lineRule="atLeast"/>
        <w:ind w:firstLine="708"/>
        <w:jc w:val="center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firstLine="708"/>
        <w:jc w:val="both"/>
        <w:rPr>
          <w:rFonts w:eastAsia="Times New Roman" w:cs="Tahoma"/>
        </w:rPr>
      </w:pPr>
      <w:r>
        <w:rPr>
          <w:rFonts w:eastAsia="Times New Roman" w:cs="Tahoma"/>
        </w:rPr>
        <w:t>Критерии за оценка на офертите е икономически най-изгодната оферта, при следните показатели: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  <w:lang w:val="en-US"/>
        </w:rPr>
        <w:t xml:space="preserve">I. </w:t>
      </w:r>
      <w:r>
        <w:rPr>
          <w:rFonts w:eastAsia="Times New Roman" w:cs="Tahoma"/>
        </w:rPr>
        <w:t>Неколичествени критерии: Максимална оценка 40 точки и тежест при изчисляване на комплексната оценка 40 на сто.</w:t>
      </w:r>
    </w:p>
    <w:p w:rsidR="00A2179D" w:rsidRDefault="00A2179D" w:rsidP="00A2179D">
      <w:pPr>
        <w:widowControl w:val="0"/>
        <w:numPr>
          <w:ilvl w:val="0"/>
          <w:numId w:val="1"/>
        </w:numPr>
        <w:spacing w:after="120" w:line="100" w:lineRule="atLeast"/>
        <w:ind w:left="709" w:firstLine="0"/>
        <w:jc w:val="both"/>
        <w:rPr>
          <w:rFonts w:eastAsia="Times New Roman" w:cs="Tahoma"/>
          <w:lang w:val="ru-RU"/>
        </w:rPr>
      </w:pPr>
      <w:r>
        <w:rPr>
          <w:rFonts w:eastAsia="Times New Roman" w:cs="Tahoma"/>
          <w:b/>
          <w:lang w:val="ru-RU"/>
        </w:rPr>
        <w:t>На</w:t>
      </w:r>
      <w:r>
        <w:rPr>
          <w:rFonts w:eastAsia="Times New Roman" w:cs="Tahoma"/>
          <w:b/>
        </w:rPr>
        <w:t>деждност</w:t>
      </w:r>
      <w:r>
        <w:rPr>
          <w:rFonts w:eastAsia="Times New Roman" w:cs="Tahoma"/>
          <w:b/>
          <w:lang w:val="ru-RU"/>
        </w:rPr>
        <w:t xml:space="preserve"> на платформа за интернет банкиране. </w:t>
      </w:r>
      <w:r>
        <w:rPr>
          <w:rFonts w:eastAsia="Times New Roman" w:cs="Tahoma"/>
        </w:rPr>
        <w:t>При н</w:t>
      </w:r>
      <w:r>
        <w:rPr>
          <w:rFonts w:eastAsia="Times New Roman" w:cs="Tahoma"/>
          <w:lang w:val="ru-RU"/>
        </w:rPr>
        <w:t>аличието на</w:t>
      </w:r>
      <w:r>
        <w:rPr>
          <w:rFonts w:eastAsia="Times New Roman" w:cs="Tahoma"/>
          <w:b/>
          <w:lang w:val="ru-RU"/>
        </w:rPr>
        <w:t xml:space="preserve"> </w:t>
      </w:r>
      <w:r>
        <w:rPr>
          <w:rFonts w:eastAsia="Times New Roman" w:cs="Tahoma"/>
        </w:rPr>
        <w:t>програми за защита на информацията при</w:t>
      </w:r>
      <w:r>
        <w:rPr>
          <w:rFonts w:eastAsia="Times New Roman" w:cs="Tahoma"/>
          <w:color w:val="1B1B1B"/>
        </w:rPr>
        <w:t xml:space="preserve"> електронно банкиране ще се</w:t>
      </w:r>
      <w:r>
        <w:rPr>
          <w:rFonts w:eastAsia="Times New Roman" w:cs="Tahoma"/>
          <w:lang w:val="ru-RU"/>
        </w:rPr>
        <w:t xml:space="preserve">  получава максимума, предвидени за този критерий точки - </w:t>
      </w:r>
      <w:r>
        <w:rPr>
          <w:rFonts w:eastAsia="Times New Roman" w:cs="Tahoma"/>
        </w:rPr>
        <w:t>5</w:t>
      </w:r>
      <w:r>
        <w:rPr>
          <w:rFonts w:eastAsia="Times New Roman" w:cs="Tahoma"/>
          <w:lang w:val="ru-RU"/>
        </w:rPr>
        <w:t xml:space="preserve"> т.  </w:t>
      </w:r>
      <w:r>
        <w:rPr>
          <w:rFonts w:eastAsia="Times New Roman" w:cs="Tahoma"/>
        </w:rPr>
        <w:t>При л</w:t>
      </w:r>
      <w:r>
        <w:rPr>
          <w:rFonts w:eastAsia="Times New Roman" w:cs="Tahoma"/>
          <w:lang w:val="ru-RU"/>
        </w:rPr>
        <w:t xml:space="preserve">ипса </w:t>
      </w:r>
      <w:r>
        <w:rPr>
          <w:rFonts w:eastAsia="Times New Roman" w:cs="Tahoma"/>
        </w:rPr>
        <w:t xml:space="preserve">на програми за защита на информацията  </w:t>
      </w:r>
      <w:r>
        <w:rPr>
          <w:rFonts w:eastAsia="Times New Roman" w:cs="Tahoma"/>
          <w:lang w:val="ru-RU"/>
        </w:rPr>
        <w:t xml:space="preserve">ще </w:t>
      </w:r>
      <w:r>
        <w:rPr>
          <w:rFonts w:eastAsia="Times New Roman" w:cs="Tahoma"/>
        </w:rPr>
        <w:t xml:space="preserve">се </w:t>
      </w:r>
      <w:r>
        <w:rPr>
          <w:rFonts w:eastAsia="Times New Roman" w:cs="Tahoma"/>
          <w:lang w:val="ru-RU"/>
        </w:rPr>
        <w:t>получ</w:t>
      </w:r>
      <w:r>
        <w:rPr>
          <w:rFonts w:eastAsia="Times New Roman" w:cs="Tahoma"/>
        </w:rPr>
        <w:t xml:space="preserve">ават </w:t>
      </w:r>
      <w:r>
        <w:rPr>
          <w:rFonts w:eastAsia="Times New Roman" w:cs="Tahoma"/>
          <w:lang w:val="ru-RU"/>
        </w:rPr>
        <w:t xml:space="preserve"> 0 т.</w:t>
      </w:r>
    </w:p>
    <w:p w:rsidR="00A2179D" w:rsidRDefault="00A2179D" w:rsidP="00A2179D">
      <w:pPr>
        <w:widowControl w:val="0"/>
        <w:numPr>
          <w:ilvl w:val="0"/>
          <w:numId w:val="1"/>
        </w:numPr>
        <w:spacing w:after="120" w:line="100" w:lineRule="atLeast"/>
        <w:ind w:left="709" w:firstLine="0"/>
        <w:jc w:val="both"/>
        <w:rPr>
          <w:rFonts w:eastAsia="Times New Roman" w:cs="Tahoma"/>
        </w:rPr>
      </w:pPr>
      <w:r>
        <w:rPr>
          <w:rFonts w:eastAsia="Times New Roman" w:cs="Tahoma"/>
          <w:b/>
          <w:bCs/>
        </w:rPr>
        <w:t>Развитие на клонова мрежа.</w:t>
      </w:r>
      <w:r>
        <w:rPr>
          <w:rFonts w:eastAsia="Times New Roman" w:cs="Tahoma"/>
        </w:rPr>
        <w:t xml:space="preserve"> При наличие на офис в Трявна се получава максимума, предвиден за този критерий точки – оценка 1</w:t>
      </w:r>
      <w:r w:rsidR="00BB7255">
        <w:rPr>
          <w:rFonts w:eastAsia="Times New Roman" w:cs="Tahoma"/>
        </w:rPr>
        <w:t>5</w:t>
      </w:r>
      <w:r>
        <w:rPr>
          <w:rFonts w:eastAsia="Times New Roman" w:cs="Tahoma"/>
        </w:rPr>
        <w:t xml:space="preserve"> т., при липса на такъв - 0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3. </w:t>
      </w:r>
      <w:r>
        <w:rPr>
          <w:rFonts w:eastAsia="Times New Roman" w:cs="Tahoma"/>
        </w:rPr>
        <w:tab/>
      </w:r>
      <w:r>
        <w:rPr>
          <w:rFonts w:eastAsia="Times New Roman" w:cs="Tahoma"/>
          <w:b/>
          <w:bCs/>
        </w:rPr>
        <w:t>Възможност на кандидата да издава дебитни карти с чип-технология</w:t>
      </w:r>
      <w:r>
        <w:rPr>
          <w:rFonts w:eastAsia="Times New Roman" w:cs="Tahoma"/>
        </w:rPr>
        <w:t xml:space="preserve"> – оценка за кандидати, удовлетворяващи това изискване – 6 т. , за останалите участници – 0 т. 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4. </w:t>
      </w:r>
      <w:r>
        <w:rPr>
          <w:rFonts w:eastAsia="Times New Roman" w:cs="Tahoma"/>
        </w:rPr>
        <w:tab/>
      </w:r>
      <w:r>
        <w:rPr>
          <w:rFonts w:eastAsia="Times New Roman" w:cs="Tahoma"/>
          <w:b/>
          <w:bCs/>
        </w:rPr>
        <w:t xml:space="preserve">Наличие на допълнителни услуги по дебитни карти. </w:t>
      </w:r>
      <w:r>
        <w:rPr>
          <w:rFonts w:eastAsia="Times New Roman" w:cs="Tahoma"/>
        </w:rPr>
        <w:t>При възможност за предоставяне на овърдрафт по дебитна карта в розмер  до 5 нетни работни заплати – 5 т., за по-малък размер – 3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  <w:b/>
          <w:bCs/>
        </w:rPr>
        <w:t>5.     Наличие на развита АТМ-мрежа/брой собствени банкомати</w:t>
      </w:r>
      <w:r>
        <w:rPr>
          <w:rFonts w:eastAsia="Times New Roman" w:cs="Tahoma"/>
        </w:rPr>
        <w:t>. Кандидатите с изградена мрежа от над 500 банкомата в основни населени места, вкл. гр. Трявна, ще получат  максимална оценка 4 т., за по-малък брой банкомати или при липса на банкомат в гр. Трявна – 2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  <w:b/>
          <w:bCs/>
        </w:rPr>
        <w:lastRenderedPageBreak/>
        <w:t xml:space="preserve">6.     Срок за обслужване на плащанията. </w:t>
      </w:r>
      <w:r>
        <w:rPr>
          <w:rFonts w:eastAsia="Times New Roman" w:cs="Tahoma"/>
        </w:rPr>
        <w:t>При срок от един работен ден ще се получава максимален брой точки -  5</w:t>
      </w:r>
      <w:r w:rsidR="00857628">
        <w:rPr>
          <w:rFonts w:eastAsia="Times New Roman" w:cs="Tahoma"/>
        </w:rPr>
        <w:t xml:space="preserve"> </w:t>
      </w:r>
      <w:bookmarkStart w:id="0" w:name="_GoBack"/>
      <w:bookmarkEnd w:id="0"/>
      <w:r>
        <w:rPr>
          <w:rFonts w:eastAsia="Times New Roman" w:cs="Tahoma"/>
        </w:rPr>
        <w:t>т., при по-голям срок  – 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  <w:lang w:val="en-US"/>
        </w:rPr>
        <w:t>II</w:t>
      </w:r>
      <w:r>
        <w:rPr>
          <w:rFonts w:eastAsia="Times New Roman" w:cs="Tahoma"/>
        </w:rPr>
        <w:t>. Количествени критерии. Максимална оценка 60 точки и тежест при изчисляване на комплексната оценка 60 на сто.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</w:rPr>
        <w:t>1.</w:t>
      </w:r>
      <w:r>
        <w:rPr>
          <w:rFonts w:eastAsia="Times New Roman" w:cs="Tahoma"/>
          <w:b/>
          <w:bCs/>
        </w:rPr>
        <w:t xml:space="preserve"> Месечна такса за обслужване на фирмена разплащателна сметка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Класиране по критерий най-ниска такса: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Най-ниска месечна такса </w:t>
      </w:r>
      <w:r>
        <w:rPr>
          <w:rFonts w:eastAsia="Times New Roman" w:cs="Tahoma"/>
        </w:rPr>
        <w:tab/>
        <w:t>- 12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Втора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9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Трета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5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Четвърта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3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Пета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1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Шеста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</w:rPr>
        <w:t xml:space="preserve">2. </w:t>
      </w:r>
      <w:r>
        <w:rPr>
          <w:rFonts w:eastAsia="Times New Roman" w:cs="Tahoma"/>
          <w:b/>
          <w:bCs/>
        </w:rPr>
        <w:t>Такси за вътрешнобанкови преводи от сметката на „ДСБДПЛББ – Царица Йоанна“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Класиране по критерий най-ниска такса: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Най-ниска такса 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6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Втора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5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Трета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4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Четвърта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3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Пета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2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Шеста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</w:rPr>
        <w:t xml:space="preserve">3. </w:t>
      </w:r>
      <w:r>
        <w:rPr>
          <w:rFonts w:eastAsia="Times New Roman" w:cs="Tahoma"/>
          <w:b/>
          <w:bCs/>
        </w:rPr>
        <w:t>Такси за междубанкови преводи от сметката на „ДСБДПЛББ – Царица Йоанна“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Класиране по критерий най-ниска такса: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Най-ниска такса 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6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Втора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5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Трета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4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Четвърта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3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Пета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2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Шеста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0 т.</w:t>
      </w:r>
    </w:p>
    <w:p w:rsidR="00A50ABB" w:rsidRDefault="00A50ABB">
      <w:pPr>
        <w:suppressAutoHyphens w:val="0"/>
        <w:spacing w:after="200" w:line="276" w:lineRule="auto"/>
        <w:rPr>
          <w:rFonts w:eastAsia="Times New Roman" w:cs="Tahoma"/>
        </w:rPr>
      </w:pPr>
      <w:r>
        <w:rPr>
          <w:rFonts w:eastAsia="Times New Roman" w:cs="Tahoma"/>
        </w:rPr>
        <w:br w:type="page"/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</w:rPr>
        <w:lastRenderedPageBreak/>
        <w:t xml:space="preserve">4. </w:t>
      </w:r>
      <w:r>
        <w:rPr>
          <w:rFonts w:eastAsia="Times New Roman" w:cs="Tahoma"/>
          <w:b/>
          <w:bCs/>
        </w:rPr>
        <w:t>Такси за касови тегления и вноски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Класиране по критерий най-ниска такса:</w:t>
      </w:r>
    </w:p>
    <w:p w:rsidR="00A2179D" w:rsidRDefault="00A2179D" w:rsidP="00A2179D">
      <w:pPr>
        <w:spacing w:after="120" w:line="100" w:lineRule="atLeast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           Най-ниска цена</w:t>
      </w:r>
      <w:r>
        <w:rPr>
          <w:rFonts w:eastAsia="Times New Roman" w:cs="Tahoma"/>
        </w:rPr>
        <w:tab/>
        <w:t>-  9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Втора позиция</w:t>
      </w:r>
      <w:r>
        <w:rPr>
          <w:rFonts w:eastAsia="Times New Roman" w:cs="Tahoma"/>
        </w:rPr>
        <w:tab/>
        <w:t>-  5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Трета позиция</w:t>
      </w:r>
      <w:r>
        <w:rPr>
          <w:rFonts w:eastAsia="Times New Roman" w:cs="Tahoma"/>
        </w:rPr>
        <w:tab/>
        <w:t>-  3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Четвърта позиция</w:t>
      </w:r>
      <w:r>
        <w:rPr>
          <w:rFonts w:eastAsia="Times New Roman" w:cs="Tahoma"/>
        </w:rPr>
        <w:tab/>
        <w:t>-  2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Пета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1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Шеста позиция</w:t>
      </w:r>
      <w:r>
        <w:rPr>
          <w:rFonts w:eastAsia="Times New Roman" w:cs="Tahoma"/>
        </w:rPr>
        <w:tab/>
        <w:t>-  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</w:rPr>
        <w:t xml:space="preserve">5. </w:t>
      </w:r>
      <w:r>
        <w:rPr>
          <w:rFonts w:eastAsia="Times New Roman" w:cs="Tahoma"/>
          <w:b/>
          <w:bCs/>
        </w:rPr>
        <w:t>Такса за превод на трудови възнаграждения на служители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Класиране по критерий най-ниска такса: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Най-ниска предложена цена - 12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Втора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- 10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Трета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5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Четвърта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3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Пета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1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Шеста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</w:rPr>
        <w:t>6.</w:t>
      </w:r>
      <w:r>
        <w:rPr>
          <w:rFonts w:eastAsia="Times New Roman" w:cs="Tahoma"/>
          <w:b/>
          <w:bCs/>
        </w:rPr>
        <w:t xml:space="preserve"> Годишен лихвен процент по разплащателна сметка: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Най-висок предложен лихвен процент - 5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Втора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- 4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Трета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- 3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Четвърта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- 2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Пета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- 1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Шеста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</w:rPr>
        <w:t>7.</w:t>
      </w:r>
      <w:r>
        <w:rPr>
          <w:rFonts w:eastAsia="Times New Roman" w:cs="Tahoma"/>
          <w:b/>
          <w:bCs/>
        </w:rPr>
        <w:t xml:space="preserve"> Годишен лихвен процент по депозитни продукти 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Най-висок лихвен процент </w:t>
      </w:r>
      <w:r>
        <w:rPr>
          <w:rFonts w:eastAsia="Times New Roman" w:cs="Tahoma"/>
        </w:rPr>
        <w:tab/>
        <w:t>- 10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Втора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7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Трета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6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Четвърта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5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Пета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4 т.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>Шеста позиция</w:t>
      </w:r>
      <w:r>
        <w:rPr>
          <w:rFonts w:eastAsia="Times New Roman" w:cs="Tahoma"/>
        </w:rPr>
        <w:tab/>
      </w:r>
      <w:r>
        <w:rPr>
          <w:rFonts w:eastAsia="Times New Roman" w:cs="Tahoma"/>
        </w:rPr>
        <w:tab/>
        <w:t>-  3 т.</w:t>
      </w:r>
    </w:p>
    <w:p w:rsidR="00A2179D" w:rsidRDefault="00A2179D" w:rsidP="00A2179D">
      <w:pPr>
        <w:spacing w:after="120" w:line="100" w:lineRule="atLeast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jc w:val="both"/>
        <w:rPr>
          <w:rFonts w:eastAsia="Times New Roman" w:cs="Tahoma"/>
        </w:rPr>
      </w:pPr>
    </w:p>
    <w:p w:rsidR="00A2179D" w:rsidRDefault="00A2179D" w:rsidP="00A2179D">
      <w:pPr>
        <w:spacing w:after="120" w:line="100" w:lineRule="atLeast"/>
        <w:ind w:firstLine="708"/>
        <w:jc w:val="both"/>
        <w:rPr>
          <w:rFonts w:eastAsia="Times New Roman" w:cs="Tahoma"/>
        </w:rPr>
      </w:pPr>
      <w:r>
        <w:rPr>
          <w:rFonts w:eastAsia="Times New Roman" w:cs="Tahoma"/>
        </w:rPr>
        <w:t>Банките-кандидати следва да предоставят оферта, която да съдържа предложение по всеки един от показателите на приложената методика.</w:t>
      </w:r>
    </w:p>
    <w:p w:rsidR="00A2179D" w:rsidRDefault="00A2179D" w:rsidP="00A2179D">
      <w:pPr>
        <w:spacing w:after="120" w:line="100" w:lineRule="atLeast"/>
        <w:ind w:firstLine="708"/>
        <w:jc w:val="both"/>
        <w:rPr>
          <w:rFonts w:eastAsia="Times New Roman" w:cs="Tahoma"/>
        </w:rPr>
      </w:pPr>
      <w:r>
        <w:rPr>
          <w:rFonts w:eastAsia="Times New Roman" w:cs="Tahoma"/>
        </w:rPr>
        <w:t>Офертата се подписва от законните представители на банката или упълномощен от тях представител.</w:t>
      </w:r>
    </w:p>
    <w:p w:rsidR="00A2179D" w:rsidRDefault="00A2179D" w:rsidP="00A2179D">
      <w:pPr>
        <w:spacing w:after="120" w:line="100" w:lineRule="atLeast"/>
        <w:ind w:left="709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Към офертата по образец се представят приложения, както следва: </w:t>
      </w:r>
    </w:p>
    <w:p w:rsidR="00A2179D" w:rsidRDefault="00A2179D" w:rsidP="00A50ABB">
      <w:pPr>
        <w:numPr>
          <w:ilvl w:val="0"/>
          <w:numId w:val="2"/>
        </w:numPr>
        <w:spacing w:after="120" w:line="100" w:lineRule="atLeast"/>
        <w:rPr>
          <w:rFonts w:eastAsia="Times New Roman" w:cs="Tahoma"/>
        </w:rPr>
      </w:pPr>
      <w:r>
        <w:rPr>
          <w:rFonts w:eastAsia="Times New Roman" w:cs="Tahoma"/>
        </w:rPr>
        <w:t>Удостоверение /разпечатка/ от Търговския регистър за актуално състояние на банката</w:t>
      </w:r>
    </w:p>
    <w:p w:rsidR="00A2179D" w:rsidRDefault="00A2179D" w:rsidP="00A50ABB">
      <w:pPr>
        <w:numPr>
          <w:ilvl w:val="0"/>
          <w:numId w:val="2"/>
        </w:numPr>
        <w:pBdr>
          <w:bottom w:val="single" w:sz="6" w:space="1" w:color="000000"/>
        </w:pBdr>
        <w:spacing w:after="120" w:line="100" w:lineRule="atLeast"/>
        <w:ind w:left="1417" w:firstLine="0"/>
        <w:rPr>
          <w:rFonts w:eastAsia="Times New Roman" w:cs="Tahoma"/>
        </w:rPr>
      </w:pPr>
      <w:r>
        <w:rPr>
          <w:rFonts w:eastAsia="Times New Roman" w:cs="Tahoma"/>
        </w:rPr>
        <w:t xml:space="preserve">Лиценз за извършване на банкова дейност /нотариално заверено  копие/ </w:t>
      </w:r>
    </w:p>
    <w:p w:rsidR="00A2179D" w:rsidRDefault="00A2179D" w:rsidP="00A50ABB">
      <w:pPr>
        <w:numPr>
          <w:ilvl w:val="0"/>
          <w:numId w:val="2"/>
        </w:numPr>
        <w:pBdr>
          <w:bottom w:val="single" w:sz="6" w:space="1" w:color="000000"/>
        </w:pBdr>
        <w:spacing w:after="120" w:line="100" w:lineRule="atLeast"/>
        <w:ind w:left="1417" w:firstLine="0"/>
        <w:rPr>
          <w:rFonts w:eastAsia="Times New Roman" w:cs="Tahoma"/>
        </w:rPr>
      </w:pPr>
      <w:r>
        <w:rPr>
          <w:rFonts w:eastAsia="Times New Roman" w:cs="Tahoma"/>
        </w:rPr>
        <w:t xml:space="preserve"> Пълномощно на лицето, подписало офертата, в случаите, когато тя не е подписана от законните представители на банката  /нотариално заверено  копие/.  </w:t>
      </w:r>
    </w:p>
    <w:p w:rsidR="00A2179D" w:rsidRDefault="00A2179D" w:rsidP="00A50ABB">
      <w:pPr>
        <w:pBdr>
          <w:bottom w:val="single" w:sz="6" w:space="1" w:color="000000"/>
        </w:pBdr>
        <w:spacing w:after="120" w:line="100" w:lineRule="atLeast"/>
        <w:ind w:left="1417"/>
        <w:rPr>
          <w:rFonts w:eastAsia="Times New Roman" w:cs="Tahoma"/>
        </w:rPr>
      </w:pPr>
      <w:r>
        <w:rPr>
          <w:rFonts w:eastAsia="Times New Roman" w:cs="Tahoma"/>
        </w:rPr>
        <w:t>Изборът на финансова институция да се извърши на базата на представени оферти от най-малко пет институции.</w:t>
      </w:r>
    </w:p>
    <w:p w:rsidR="00A2179D" w:rsidRDefault="00A2179D" w:rsidP="00A2179D">
      <w:pPr>
        <w:jc w:val="both"/>
      </w:pPr>
    </w:p>
    <w:p w:rsidR="00A2179D" w:rsidRDefault="00A2179D" w:rsidP="00A2179D">
      <w:pPr>
        <w:ind w:firstLine="708"/>
        <w:jc w:val="both"/>
      </w:pPr>
      <w:r>
        <w:rPr>
          <w:b/>
          <w:bCs/>
        </w:rPr>
        <w:t xml:space="preserve">Срок за представяне на оферти: </w:t>
      </w:r>
      <w:r>
        <w:t>до 15.30 ч. на  десетия работен ден от датата на публикуване</w:t>
      </w:r>
    </w:p>
    <w:p w:rsidR="00A2179D" w:rsidRDefault="00A2179D" w:rsidP="00A2179D">
      <w:pPr>
        <w:jc w:val="both"/>
      </w:pPr>
      <w:r>
        <w:t>на поканата.</w:t>
      </w:r>
    </w:p>
    <w:p w:rsidR="00A2179D" w:rsidRDefault="00A2179D" w:rsidP="00A2179D">
      <w:pPr>
        <w:ind w:firstLine="708"/>
        <w:jc w:val="both"/>
      </w:pPr>
      <w:r>
        <w:rPr>
          <w:b/>
        </w:rPr>
        <w:t>Разглеждане на представените оферти</w:t>
      </w:r>
      <w:r w:rsidR="00295E34">
        <w:t>: 18</w:t>
      </w:r>
      <w:r>
        <w:t xml:space="preserve"> ноември, 2013 г. от 11 ч. в заседателната зала на болницата.</w:t>
      </w:r>
    </w:p>
    <w:p w:rsidR="00A2179D" w:rsidRDefault="00A2179D" w:rsidP="00A2179D">
      <w:pPr>
        <w:ind w:firstLine="708"/>
        <w:jc w:val="both"/>
      </w:pPr>
      <w:r>
        <w:rPr>
          <w:b/>
          <w:bCs/>
        </w:rPr>
        <w:t>Място за подаване на офертата</w:t>
      </w:r>
      <w:r>
        <w:t>: Технически секретар на „ДСБДПЛЛББ - ЦАРИЦА ЙОАННА” ЕООД – Трявна ул. „Бреза“ 49.</w:t>
      </w:r>
    </w:p>
    <w:p w:rsidR="00A50ABB" w:rsidRDefault="00A50ABB" w:rsidP="00A50ABB">
      <w:pPr>
        <w:ind w:firstLine="708"/>
        <w:jc w:val="both"/>
      </w:pPr>
    </w:p>
    <w:p w:rsidR="00A2179D" w:rsidRDefault="00A2179D" w:rsidP="00A50ABB">
      <w:pPr>
        <w:ind w:firstLine="708"/>
        <w:jc w:val="both"/>
      </w:pPr>
      <w:r>
        <w:t>Документацията за участие може да се изтегли от интернет страницата на Възложителя:</w:t>
      </w:r>
      <w:r w:rsidR="00A50ABB">
        <w:t xml:space="preserve"> </w:t>
      </w:r>
      <w:hyperlink r:id="rId6" w:history="1">
        <w:r>
          <w:rPr>
            <w:rStyle w:val="Hyperlink"/>
          </w:rPr>
          <w:t>www.belodrobnadetska.com</w:t>
        </w:r>
      </w:hyperlink>
      <w:r>
        <w:t xml:space="preserve"> </w:t>
      </w:r>
    </w:p>
    <w:p w:rsidR="009C5B96" w:rsidRDefault="00857628"/>
    <w:sectPr w:rsidR="009C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6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AF"/>
    <w:rsid w:val="001261D4"/>
    <w:rsid w:val="00295E34"/>
    <w:rsid w:val="003F30E7"/>
    <w:rsid w:val="006661AF"/>
    <w:rsid w:val="006675EC"/>
    <w:rsid w:val="00857628"/>
    <w:rsid w:val="00A2179D"/>
    <w:rsid w:val="00A50ABB"/>
    <w:rsid w:val="00BA2A45"/>
    <w:rsid w:val="00B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9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217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9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21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odrobnadetsk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dcterms:created xsi:type="dcterms:W3CDTF">2013-10-25T09:59:00Z</dcterms:created>
  <dcterms:modified xsi:type="dcterms:W3CDTF">2013-10-25T10:43:00Z</dcterms:modified>
</cp:coreProperties>
</file>