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9D" w:rsidRPr="00DE7439" w:rsidRDefault="00A2179D" w:rsidP="00A2179D">
      <w:pPr>
        <w:jc w:val="center"/>
        <w:rPr>
          <w:b/>
          <w:bCs/>
          <w:sz w:val="28"/>
          <w:szCs w:val="28"/>
        </w:rPr>
      </w:pPr>
      <w:r w:rsidRPr="00DE7439">
        <w:rPr>
          <w:b/>
          <w:bCs/>
          <w:sz w:val="28"/>
          <w:szCs w:val="28"/>
        </w:rPr>
        <w:t>П О К А Н А</w:t>
      </w:r>
    </w:p>
    <w:p w:rsidR="00DE7439" w:rsidRPr="00DE7439" w:rsidRDefault="00DE7439" w:rsidP="00A2179D">
      <w:pPr>
        <w:jc w:val="center"/>
        <w:rPr>
          <w:b/>
          <w:bCs/>
        </w:rPr>
      </w:pPr>
    </w:p>
    <w:p w:rsidR="001261D4" w:rsidRPr="00DE7439" w:rsidRDefault="001261D4" w:rsidP="00A2179D">
      <w:pPr>
        <w:jc w:val="center"/>
        <w:rPr>
          <w:b/>
          <w:bCs/>
        </w:rPr>
      </w:pPr>
    </w:p>
    <w:p w:rsidR="00545F6F" w:rsidRPr="00DE7439" w:rsidRDefault="00A2179D" w:rsidP="00DE7439">
      <w:pPr>
        <w:ind w:left="-360"/>
        <w:jc w:val="both"/>
        <w:rPr>
          <w:rFonts w:ascii="Trebuchet MS" w:hAnsi="Trebuchet MS"/>
          <w:b/>
        </w:rPr>
      </w:pPr>
      <w:r w:rsidRPr="00DE7439">
        <w:rPr>
          <w:b/>
          <w:bCs/>
        </w:rPr>
        <w:t xml:space="preserve"> СПЕЦИАЛИЗИРАНА БОЛНИЦА </w:t>
      </w:r>
      <w:r w:rsidR="00545F6F" w:rsidRPr="00DE7439">
        <w:rPr>
          <w:b/>
          <w:bCs/>
        </w:rPr>
        <w:t xml:space="preserve"> ПО ПНЕВМОФТИЗИАТРИЧНИ ЗАБОЛЯВАНИЯ ЗА ДОЛЕКУВАНЕ ,</w:t>
      </w:r>
      <w:r w:rsidRPr="00DE7439">
        <w:rPr>
          <w:b/>
          <w:bCs/>
        </w:rPr>
        <w:t xml:space="preserve">ПРОДЪЛЖИТЕЛНО  ЛЕЧЕНИЕ </w:t>
      </w:r>
      <w:r w:rsidR="00545F6F" w:rsidRPr="00DE7439">
        <w:rPr>
          <w:b/>
          <w:bCs/>
        </w:rPr>
        <w:t xml:space="preserve">И РЕХАБИЛИТАЦИЯ „ЦАР ФЕРДИНАНД І” ЕООД, с. Искрец, </w:t>
      </w:r>
      <w:proofErr w:type="spellStart"/>
      <w:r w:rsidR="00545F6F" w:rsidRPr="00DE7439">
        <w:rPr>
          <w:b/>
          <w:bCs/>
        </w:rPr>
        <w:t>обл</w:t>
      </w:r>
      <w:proofErr w:type="spellEnd"/>
      <w:r w:rsidR="00545F6F" w:rsidRPr="00DE7439">
        <w:rPr>
          <w:b/>
          <w:bCs/>
        </w:rPr>
        <w:t>.Софийска, кв.”Санаториума”,</w:t>
      </w:r>
      <w:r w:rsidR="00545F6F" w:rsidRPr="00DE7439">
        <w:rPr>
          <w:rFonts w:ascii="Trebuchet MS" w:hAnsi="Trebuchet MS"/>
          <w:b/>
        </w:rPr>
        <w:t xml:space="preserve"> </w:t>
      </w:r>
    </w:p>
    <w:p w:rsidR="00DE7439" w:rsidRDefault="00545F6F" w:rsidP="00DE7439">
      <w:pPr>
        <w:ind w:left="-360"/>
        <w:jc w:val="both"/>
        <w:rPr>
          <w:rFonts w:ascii="Trebuchet MS" w:hAnsi="Trebuchet MS"/>
          <w:b/>
        </w:rPr>
      </w:pPr>
      <w:r w:rsidRPr="00DE7439">
        <w:rPr>
          <w:rFonts w:ascii="Trebuchet MS" w:hAnsi="Trebuchet MS"/>
          <w:b/>
        </w:rPr>
        <w:t>тел. 07163/2001,</w:t>
      </w:r>
      <w:r w:rsidRPr="00DE7439">
        <w:rPr>
          <w:rFonts w:ascii="Trebuchet MS" w:hAnsi="Trebuchet MS"/>
          <w:b/>
          <w:lang w:val="en-GB"/>
        </w:rPr>
        <w:t xml:space="preserve"> </w:t>
      </w:r>
      <w:r w:rsidRPr="00DE7439">
        <w:rPr>
          <w:rFonts w:ascii="Trebuchet MS" w:hAnsi="Trebuchet MS"/>
          <w:b/>
          <w:lang w:val="en-US"/>
        </w:rPr>
        <w:t>e</w:t>
      </w:r>
      <w:r w:rsidRPr="00DE7439">
        <w:rPr>
          <w:rFonts w:ascii="Trebuchet MS" w:hAnsi="Trebuchet MS"/>
          <w:b/>
          <w:lang w:val="en-GB"/>
        </w:rPr>
        <w:t>-</w:t>
      </w:r>
      <w:r w:rsidRPr="00DE7439">
        <w:rPr>
          <w:rFonts w:ascii="Trebuchet MS" w:hAnsi="Trebuchet MS"/>
          <w:b/>
          <w:lang w:val="en-US"/>
        </w:rPr>
        <w:t>mail</w:t>
      </w:r>
      <w:r w:rsidRPr="00DE7439">
        <w:rPr>
          <w:rFonts w:ascii="Trebuchet MS" w:hAnsi="Trebuchet MS"/>
          <w:b/>
          <w:lang w:val="en-GB"/>
        </w:rPr>
        <w:t xml:space="preserve">: </w:t>
      </w:r>
      <w:r w:rsidRPr="00DE7439">
        <w:rPr>
          <w:rFonts w:ascii="Trebuchet MS" w:hAnsi="Trebuchet MS"/>
          <w:b/>
          <w:lang w:val="en-US"/>
        </w:rPr>
        <w:t>tzarferdinand</w:t>
      </w:r>
      <w:r w:rsidRPr="00DE7439">
        <w:rPr>
          <w:rFonts w:ascii="Trebuchet MS" w:hAnsi="Trebuchet MS"/>
          <w:b/>
          <w:lang w:val="en-GB"/>
        </w:rPr>
        <w:t>@</w:t>
      </w:r>
      <w:r w:rsidRPr="00DE7439">
        <w:rPr>
          <w:rFonts w:ascii="Trebuchet MS" w:hAnsi="Trebuchet MS"/>
          <w:b/>
          <w:lang w:val="en-US"/>
        </w:rPr>
        <w:t>abv</w:t>
      </w:r>
      <w:r w:rsidRPr="00DE7439">
        <w:rPr>
          <w:rFonts w:ascii="Trebuchet MS" w:hAnsi="Trebuchet MS"/>
          <w:b/>
          <w:lang w:val="en-GB"/>
        </w:rPr>
        <w:t>.</w:t>
      </w:r>
      <w:r w:rsidRPr="00DE7439">
        <w:rPr>
          <w:rFonts w:ascii="Trebuchet MS" w:hAnsi="Trebuchet MS"/>
          <w:b/>
          <w:lang w:val="en-US"/>
        </w:rPr>
        <w:t>bg</w:t>
      </w:r>
      <w:r w:rsidRPr="00DE7439">
        <w:rPr>
          <w:rFonts w:ascii="Trebuchet MS" w:hAnsi="Trebuchet MS"/>
          <w:lang w:val="en-US"/>
        </w:rPr>
        <w:tab/>
      </w:r>
      <w:r w:rsidRPr="00DE7439">
        <w:rPr>
          <w:rFonts w:ascii="Trebuchet MS" w:hAnsi="Trebuchet MS"/>
          <w:lang w:val="en-US"/>
        </w:rPr>
        <w:tab/>
      </w:r>
    </w:p>
    <w:p w:rsidR="00A2179D" w:rsidRDefault="00DE7439" w:rsidP="00DE7439">
      <w:pPr>
        <w:ind w:left="-360"/>
        <w:jc w:val="both"/>
      </w:pPr>
      <w:r>
        <w:t>н</w:t>
      </w:r>
      <w:r w:rsidR="00A2179D">
        <w:t xml:space="preserve">а основание т. 4 от Приложение № 3 към чл. 13б </w:t>
      </w:r>
      <w:r w:rsidR="00C30FD7">
        <w:t>„</w:t>
      </w:r>
      <w:r w:rsidR="00A2179D">
        <w:t>Правила за избор на изпълнител за предоставяне на финансови  услуги от кредитни или финансови институции</w:t>
      </w:r>
      <w:r w:rsidR="00C30FD7">
        <w:t>”</w:t>
      </w:r>
      <w:r w:rsidR="00A2179D">
        <w:t xml:space="preserve"> от Правилника за реда за упражняване правата на държавата в търговските дружества с държавно участие в капитала, публ</w:t>
      </w:r>
      <w:r w:rsidR="00545F6F">
        <w:t xml:space="preserve">икувани в ДВ, бр.49 от 2013г.  и </w:t>
      </w:r>
      <w:r w:rsidR="00A2179D">
        <w:t xml:space="preserve">Заповед № </w:t>
      </w:r>
      <w:r w:rsidR="00545F6F">
        <w:t xml:space="preserve">221/08.11.2013 г. </w:t>
      </w:r>
      <w:r w:rsidR="00A2179D">
        <w:t xml:space="preserve"> на Управителя на болницата,</w:t>
      </w:r>
    </w:p>
    <w:p w:rsidR="00DE7439" w:rsidRPr="00DE7439" w:rsidRDefault="00DE7439" w:rsidP="00DE7439">
      <w:pPr>
        <w:ind w:left="-360"/>
        <w:jc w:val="both"/>
        <w:rPr>
          <w:rFonts w:ascii="Trebuchet MS" w:hAnsi="Trebuchet MS"/>
          <w:b/>
        </w:rPr>
      </w:pPr>
    </w:p>
    <w:p w:rsidR="00DE7439" w:rsidRDefault="00A2179D" w:rsidP="00DE7439">
      <w:pPr>
        <w:jc w:val="center"/>
        <w:rPr>
          <w:b/>
          <w:bCs/>
        </w:rPr>
      </w:pPr>
      <w:r>
        <w:rPr>
          <w:b/>
          <w:bCs/>
        </w:rPr>
        <w:t>КАН</w:t>
      </w:r>
      <w:r w:rsidR="00DE7439">
        <w:rPr>
          <w:b/>
          <w:bCs/>
        </w:rPr>
        <w:t>И</w:t>
      </w:r>
    </w:p>
    <w:p w:rsidR="00DE7439" w:rsidRDefault="00DE7439" w:rsidP="00DE7439">
      <w:pPr>
        <w:rPr>
          <w:b/>
          <w:bCs/>
        </w:rPr>
      </w:pPr>
    </w:p>
    <w:p w:rsidR="00A2179D" w:rsidRPr="00DE7439" w:rsidRDefault="00C30FD7" w:rsidP="00DE7439">
      <w:pPr>
        <w:rPr>
          <w:b/>
          <w:bCs/>
        </w:rPr>
      </w:pPr>
      <w:r>
        <w:t>в</w:t>
      </w:r>
      <w:r w:rsidR="00A2179D">
        <w:t>сички заинтересовани</w:t>
      </w:r>
      <w:r>
        <w:t xml:space="preserve"> институции да представят оферта</w:t>
      </w:r>
      <w:r w:rsidR="00A2179D">
        <w:t xml:space="preserve"> за комплексн</w:t>
      </w:r>
      <w:r>
        <w:t>о банково обслужване на СБПФЗДПЛР</w:t>
      </w:r>
      <w:r w:rsidR="00A2179D">
        <w:t xml:space="preserve"> „ЦАР</w:t>
      </w:r>
      <w:r>
        <w:t xml:space="preserve"> ФЕРДИНАНД І</w:t>
      </w:r>
      <w:r w:rsidR="00A2179D">
        <w:t>” ЕООД за срок от една година.</w:t>
      </w:r>
    </w:p>
    <w:p w:rsidR="00C30FD7" w:rsidRDefault="00A2179D" w:rsidP="00C30FD7">
      <w:pPr>
        <w:spacing w:after="120"/>
        <w:ind w:firstLine="708"/>
        <w:jc w:val="both"/>
      </w:pPr>
      <w:r>
        <w:rPr>
          <w:b/>
          <w:bCs/>
        </w:rPr>
        <w:t>Вид и характеристика на финансовите услуги</w:t>
      </w:r>
      <w:r>
        <w:t xml:space="preserve">: </w:t>
      </w:r>
    </w:p>
    <w:p w:rsidR="00C30FD7" w:rsidRDefault="00C30FD7" w:rsidP="00C30FD7">
      <w:pPr>
        <w:spacing w:after="120"/>
        <w:ind w:firstLine="708"/>
        <w:jc w:val="both"/>
        <w:rPr>
          <w:rFonts w:cs="Times New Roman"/>
        </w:rPr>
      </w:pPr>
      <w:r>
        <w:t>1.</w:t>
      </w:r>
      <w:r w:rsidRPr="00C30FD7">
        <w:rPr>
          <w:rFonts w:cs="Times New Roman"/>
        </w:rPr>
        <w:t xml:space="preserve">платежни и свързани услуги ,в т.ч. управление на  разплащателна сметка , инкасо </w:t>
      </w:r>
    </w:p>
    <w:p w:rsidR="00C30FD7" w:rsidRPr="00C30FD7" w:rsidRDefault="00C30FD7" w:rsidP="00C30FD7">
      <w:pPr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>2.</w:t>
      </w:r>
      <w:r w:rsidRPr="00C30FD7">
        <w:rPr>
          <w:rFonts w:cs="Times New Roman"/>
        </w:rPr>
        <w:t>свободни парични средства-депозити; разполагаеми средства, които е възможно да бъдат пласирани по депозитни  или други банкови сметки</w:t>
      </w:r>
    </w:p>
    <w:p w:rsidR="00A2179D" w:rsidRDefault="00A2179D" w:rsidP="00C30FD7">
      <w:pPr>
        <w:ind w:firstLine="708"/>
        <w:jc w:val="both"/>
        <w:rPr>
          <w:b/>
          <w:bCs/>
        </w:rPr>
      </w:pPr>
      <w:r>
        <w:rPr>
          <w:b/>
          <w:bCs/>
        </w:rPr>
        <w:t>Показатели, относителна тежест и методика за определяне на комплексната оценка:</w:t>
      </w:r>
    </w:p>
    <w:p w:rsidR="00C30FD7" w:rsidRPr="00C30FD7" w:rsidRDefault="00C30FD7" w:rsidP="00C30FD7">
      <w:pPr>
        <w:spacing w:after="120"/>
        <w:ind w:firstLine="708"/>
        <w:jc w:val="both"/>
        <w:rPr>
          <w:rFonts w:cs="Times New Roman"/>
          <w:bCs/>
        </w:rPr>
      </w:pPr>
      <w:r w:rsidRPr="00C30FD7">
        <w:rPr>
          <w:rFonts w:cs="Times New Roman"/>
        </w:rPr>
        <w:t>Критерият за оценка на офертите е икономически най-изгодната оферта, определена  въз основа на извършена комплексна оценка  съгласно два вида показатели-неколичествени и количествени ,с фиксирани относителни тегла , както следва:</w:t>
      </w:r>
      <w:r w:rsidRPr="00C30FD7">
        <w:rPr>
          <w:rFonts w:cs="Times New Roman"/>
          <w:bCs/>
        </w:rPr>
        <w:t xml:space="preserve"> Комплексната оценка (КО) за определяне на "Икономически най-изгодна оферта" на кандидатите се определя по формулата: </w:t>
      </w:r>
    </w:p>
    <w:p w:rsidR="00C30FD7" w:rsidRPr="00C30FD7" w:rsidRDefault="00C30FD7" w:rsidP="00C30FD7">
      <w:pPr>
        <w:spacing w:after="120"/>
        <w:ind w:firstLine="708"/>
        <w:jc w:val="both"/>
        <w:rPr>
          <w:rFonts w:cs="Times New Roman"/>
        </w:rPr>
      </w:pPr>
      <w:r w:rsidRPr="00C30FD7">
        <w:rPr>
          <w:rFonts w:cs="Times New Roman"/>
          <w:bCs/>
        </w:rPr>
        <w:t>КО = П1 х 0.40 + П2 х 0.60, където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/>
          <w:bCs/>
        </w:rPr>
        <w:t>П1-Неколичествени показатели</w:t>
      </w:r>
      <w:r w:rsidRPr="00C30FD7">
        <w:rPr>
          <w:bCs/>
        </w:rPr>
        <w:t xml:space="preserve">  с тежест 0.40, включващи следните три </w:t>
      </w:r>
      <w:proofErr w:type="spellStart"/>
      <w:r w:rsidRPr="00C30FD7">
        <w:rPr>
          <w:bCs/>
        </w:rPr>
        <w:t>подпоказатели</w:t>
      </w:r>
      <w:proofErr w:type="spellEnd"/>
      <w:r w:rsidRPr="00C30FD7">
        <w:rPr>
          <w:bCs/>
        </w:rPr>
        <w:t>:</w:t>
      </w:r>
    </w:p>
    <w:p w:rsidR="00C30FD7" w:rsidRPr="00C30FD7" w:rsidRDefault="00C30FD7" w:rsidP="00C30FD7">
      <w:pPr>
        <w:pStyle w:val="a4"/>
        <w:ind w:firstLine="720"/>
        <w:rPr>
          <w:bCs/>
        </w:rPr>
      </w:pP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П1-1- надеждност на платформата за интернет банкиране с тежест 50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П1-2 - срок за обслужване на плащанията с тежест 40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П1-3-  развитие на клонова мрежа  с тежест 10 точки.</w:t>
      </w:r>
    </w:p>
    <w:p w:rsidR="00C30FD7" w:rsidRPr="00C30FD7" w:rsidRDefault="00C30FD7" w:rsidP="000D7CBF">
      <w:pPr>
        <w:pStyle w:val="a4"/>
        <w:ind w:firstLine="720"/>
        <w:rPr>
          <w:bCs/>
        </w:rPr>
      </w:pPr>
      <w:r w:rsidRPr="00C30FD7">
        <w:rPr>
          <w:bCs/>
        </w:rPr>
        <w:t xml:space="preserve">Офертата с най-добри данни получава максималния брой точки по съответния </w:t>
      </w:r>
      <w:proofErr w:type="spellStart"/>
      <w:r w:rsidRPr="00C30FD7">
        <w:rPr>
          <w:bCs/>
        </w:rPr>
        <w:t>подпоказател</w:t>
      </w:r>
      <w:proofErr w:type="spellEnd"/>
      <w:r w:rsidRPr="00C30FD7">
        <w:rPr>
          <w:bCs/>
        </w:rPr>
        <w:t xml:space="preserve">, а класираната на следващо място оферта получава   две  точки по-малко от предходната. 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/>
          <w:bCs/>
        </w:rPr>
        <w:t>П2-Количествени показатели</w:t>
      </w:r>
      <w:r w:rsidRPr="00C30FD7">
        <w:rPr>
          <w:bCs/>
        </w:rPr>
        <w:t xml:space="preserve">  с тежест 0.60, включващи следните  шест  </w:t>
      </w:r>
      <w:proofErr w:type="spellStart"/>
      <w:r w:rsidRPr="00C30FD7">
        <w:rPr>
          <w:bCs/>
        </w:rPr>
        <w:t>подпоказатели</w:t>
      </w:r>
      <w:proofErr w:type="spellEnd"/>
      <w:r w:rsidRPr="00C30FD7">
        <w:rPr>
          <w:bCs/>
        </w:rPr>
        <w:t>:</w:t>
      </w:r>
    </w:p>
    <w:p w:rsidR="00C30FD7" w:rsidRPr="00C30FD7" w:rsidRDefault="00C30FD7" w:rsidP="00C30FD7">
      <w:pPr>
        <w:pStyle w:val="a4"/>
        <w:ind w:firstLine="720"/>
        <w:rPr>
          <w:bCs/>
        </w:rPr>
      </w:pP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П2-1 – лихвени условия (лихвен процент, такси, комисионни) за наличните по  разплащателната сметка парични средства  с тежест 20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 xml:space="preserve">П2-2 – лихвени условия (лихвен процент, такси, комисионни) за депозитни продукти  , </w:t>
      </w:r>
      <w:proofErr w:type="spellStart"/>
      <w:r w:rsidRPr="00C30FD7">
        <w:rPr>
          <w:bCs/>
        </w:rPr>
        <w:t>срочност</w:t>
      </w:r>
      <w:proofErr w:type="spellEnd"/>
      <w:r w:rsidRPr="00C30FD7">
        <w:rPr>
          <w:bCs/>
        </w:rPr>
        <w:t>, обем, валута, условия при предсрочно прекратяване  - с тежест 20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lastRenderedPageBreak/>
        <w:t>П2-3 – месечна  такса  за обслужване на  фирмена разплащателна сметка  с тежест 10 точки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 xml:space="preserve">П2-4-такси и комисионни при извършване на вътрешнобанкови разплащания с тежест 10 точки 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 xml:space="preserve">П2-5-такси и комисионни при извършване на междубанкови разплащания  с тежест 10 точки </w:t>
      </w:r>
    </w:p>
    <w:p w:rsid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 xml:space="preserve">П2-6-такси и комисионни при извършване на </w:t>
      </w:r>
      <w:proofErr w:type="spellStart"/>
      <w:r w:rsidRPr="00C30FD7">
        <w:rPr>
          <w:bCs/>
        </w:rPr>
        <w:t>инкасови</w:t>
      </w:r>
      <w:proofErr w:type="spellEnd"/>
      <w:r w:rsidRPr="00C30FD7">
        <w:rPr>
          <w:bCs/>
        </w:rPr>
        <w:t xml:space="preserve"> услуги  с тежест 30 точки</w:t>
      </w:r>
    </w:p>
    <w:p w:rsidR="00C30FD7" w:rsidRDefault="00C30FD7" w:rsidP="000D7CBF">
      <w:pPr>
        <w:pStyle w:val="a4"/>
        <w:spacing w:line="276" w:lineRule="auto"/>
        <w:rPr>
          <w:bCs/>
        </w:rPr>
      </w:pPr>
      <w:r w:rsidRPr="00C30FD7">
        <w:rPr>
          <w:bCs/>
        </w:rPr>
        <w:t xml:space="preserve">Офертата с най-добри показатели получава максималния брой точки по съответния </w:t>
      </w:r>
      <w:proofErr w:type="spellStart"/>
      <w:r w:rsidRPr="00C30FD7">
        <w:rPr>
          <w:bCs/>
        </w:rPr>
        <w:t>подпоказател</w:t>
      </w:r>
      <w:proofErr w:type="spellEnd"/>
      <w:r w:rsidRPr="00C30FD7">
        <w:rPr>
          <w:bCs/>
        </w:rPr>
        <w:t>, а класираната на следващо място оферта получава   две  точки по-малко от предходната .</w:t>
      </w:r>
    </w:p>
    <w:p w:rsidR="00C30FD7" w:rsidRDefault="00C30FD7" w:rsidP="00C30FD7">
      <w:pPr>
        <w:pStyle w:val="a4"/>
        <w:ind w:firstLine="720"/>
        <w:rPr>
          <w:bCs/>
        </w:rPr>
      </w:pPr>
    </w:p>
    <w:p w:rsidR="000D7CBF" w:rsidRPr="00DE7439" w:rsidRDefault="000D7CBF" w:rsidP="00DE7439">
      <w:pPr>
        <w:spacing w:line="276" w:lineRule="auto"/>
        <w:jc w:val="both"/>
        <w:rPr>
          <w:rFonts w:cs="Times New Roman"/>
          <w:b/>
        </w:rPr>
      </w:pPr>
      <w:r w:rsidRPr="00DE7439">
        <w:rPr>
          <w:rFonts w:cs="Times New Roman"/>
          <w:b/>
        </w:rPr>
        <w:t>ІІІ.Изисквания на Възложителя към представянето  на офертите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  <w:b/>
        </w:rPr>
      </w:pPr>
    </w:p>
    <w:p w:rsidR="000D7CBF" w:rsidRPr="00DE7439" w:rsidRDefault="000D7CBF" w:rsidP="00DE7439">
      <w:pPr>
        <w:spacing w:line="276" w:lineRule="auto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</w:rPr>
        <w:t>О</w:t>
      </w:r>
      <w:r w:rsidRPr="00DE7439">
        <w:rPr>
          <w:rFonts w:cs="Times New Roman"/>
          <w:highlight w:val="white"/>
          <w:shd w:val="clear" w:color="auto" w:fill="FEFEFE"/>
        </w:rPr>
        <w:t xml:space="preserve">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адрес. </w:t>
      </w:r>
    </w:p>
    <w:p w:rsidR="000D7CBF" w:rsidRPr="00DE7439" w:rsidRDefault="000D7CBF" w:rsidP="00DE7439">
      <w:pPr>
        <w:spacing w:line="276" w:lineRule="auto"/>
        <w:ind w:firstLine="850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  <w:highlight w:val="white"/>
          <w:shd w:val="clear" w:color="auto" w:fill="FEFEFE"/>
        </w:rPr>
        <w:t>Пликът с офертата съдържа два отделни запечатани непрозрачни и надписани плика, както следва:</w:t>
      </w:r>
    </w:p>
    <w:p w:rsidR="000D7CBF" w:rsidRPr="00DE7439" w:rsidRDefault="000D7CBF" w:rsidP="00DE7439">
      <w:pPr>
        <w:spacing w:line="276" w:lineRule="auto"/>
        <w:ind w:firstLine="850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  <w:b/>
          <w:highlight w:val="white"/>
          <w:u w:val="single"/>
          <w:shd w:val="clear" w:color="auto" w:fill="FEFEFE"/>
        </w:rPr>
        <w:t>1. Плик № 1 с надпис "Документи за участие",</w:t>
      </w:r>
      <w:r w:rsidRPr="00DE7439">
        <w:rPr>
          <w:rFonts w:cs="Times New Roman"/>
          <w:highlight w:val="white"/>
          <w:shd w:val="clear" w:color="auto" w:fill="FEFEFE"/>
        </w:rPr>
        <w:t xml:space="preserve"> в който се поставят  следните документи, изисквани от възложителя: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Данни за лицето, което прави предложението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left" w:pos="1069"/>
        </w:tabs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Заверено копие от удостоверение   за актуално състояние на банката;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left" w:pos="1069"/>
        </w:tabs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Нотариално заверено копие  от лиценз за извършване на банкова дейност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Нотариално заверено копие от пълномощно на лицето, подписало офертата, в случаите, когато тя не е подписана от законните представители на банката .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Декларация за липса на обстоятелствата ,изброени в   чл.47 ал.1 и ал.5 от ЗОП.</w:t>
      </w:r>
      <w:r w:rsidRPr="00DE7439">
        <w:rPr>
          <w:rFonts w:cs="Times New Roman"/>
          <w:color w:val="000000"/>
        </w:rPr>
        <w:tab/>
        <w:t>Изискванията се отнасят за управителите или за членовете на управителните органи на кандидатите или участниците, а в случай, че членове са юридически лица – за техните представители в съответния управителен орган.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  <w:color w:val="000000"/>
        </w:rPr>
        <w:t>Декларация за липса на обстоятелствата, изброени в  чл. 47, ал.2 от  ЗОП.Изискванията се отнасят за управителите или за членовете на управителните органи на кандидатите или участниците, а в случай, че членове са юридически лица– за техните представители в съответния управителен орган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  <w:color w:val="000000"/>
        </w:rPr>
        <w:t xml:space="preserve">Доказателства за технически възможности и квалификация на служителите за изпълнение на услугата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</w:rPr>
        <w:t>Списък-декларация на сключени  договори за услуги с предмет, сходен с предмета на настоящата поръчка , изпълнени през последните три години , придружени с референции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Списък на приложените документи. Списъкът се прилага в началото на офертата преди всички други документи.</w:t>
      </w:r>
    </w:p>
    <w:p w:rsidR="000D7CBF" w:rsidRPr="00DE7439" w:rsidRDefault="000D7CBF" w:rsidP="00DE7439">
      <w:pPr>
        <w:spacing w:line="276" w:lineRule="auto"/>
        <w:ind w:left="1069"/>
        <w:jc w:val="both"/>
        <w:rPr>
          <w:rFonts w:cs="Times New Roman"/>
        </w:rPr>
      </w:pPr>
    </w:p>
    <w:p w:rsidR="000D7CBF" w:rsidRPr="00DE7439" w:rsidRDefault="000D7CBF" w:rsidP="00DE7439">
      <w:pPr>
        <w:spacing w:line="276" w:lineRule="auto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  <w:b/>
          <w:highlight w:val="white"/>
          <w:u w:val="single"/>
          <w:shd w:val="clear" w:color="auto" w:fill="FEFEFE"/>
        </w:rPr>
        <w:t>2.</w:t>
      </w:r>
      <w:r w:rsidRPr="00DE7439">
        <w:rPr>
          <w:rFonts w:cs="Times New Roman"/>
          <w:b/>
          <w:highlight w:val="white"/>
          <w:u w:val="single"/>
          <w:shd w:val="clear" w:color="auto" w:fill="FEFEFE"/>
          <w:lang w:val="ru-RU"/>
        </w:rPr>
        <w:t xml:space="preserve"> </w:t>
      </w:r>
      <w:r w:rsidRPr="00DE7439">
        <w:rPr>
          <w:rFonts w:cs="Times New Roman"/>
          <w:b/>
          <w:highlight w:val="white"/>
          <w:u w:val="single"/>
          <w:shd w:val="clear" w:color="auto" w:fill="FEFEFE"/>
        </w:rPr>
        <w:t xml:space="preserve">Плик № </w:t>
      </w:r>
      <w:r w:rsidRPr="00DE7439">
        <w:rPr>
          <w:rFonts w:cs="Times New Roman"/>
          <w:b/>
          <w:highlight w:val="white"/>
          <w:u w:val="single"/>
          <w:shd w:val="clear" w:color="auto" w:fill="FEFEFE"/>
          <w:lang w:val="ru-RU"/>
        </w:rPr>
        <w:t>2</w:t>
      </w:r>
      <w:r w:rsidRPr="00DE7439">
        <w:rPr>
          <w:rFonts w:cs="Times New Roman"/>
          <w:b/>
          <w:highlight w:val="white"/>
          <w:u w:val="single"/>
          <w:shd w:val="clear" w:color="auto" w:fill="FEFEFE"/>
        </w:rPr>
        <w:t xml:space="preserve"> с надпис "Ценово предложение"</w:t>
      </w:r>
      <w:r w:rsidRPr="00DE7439">
        <w:rPr>
          <w:rFonts w:cs="Times New Roman"/>
          <w:highlight w:val="white"/>
          <w:shd w:val="clear" w:color="auto" w:fill="FEFEFE"/>
        </w:rPr>
        <w:t>, който съдържа ценовото предложение на участника.</w:t>
      </w:r>
      <w:r w:rsidRPr="00DE7439">
        <w:rPr>
          <w:rFonts w:cs="Times New Roman"/>
        </w:rPr>
        <w:t>Валидността  на ценовото предложение  да не е по-малко от  90  календарни дни .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Офертата се подписва от законен  представител на банката  или от изрично упълномощено лице.</w:t>
      </w:r>
    </w:p>
    <w:p w:rsidR="000D7CBF" w:rsidRPr="00DE7439" w:rsidRDefault="000D7CBF" w:rsidP="00DE7439">
      <w:pPr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Банките-кандидати следва да представят оферта, която да съдържа предложение по всеки един от посочените по-горе </w:t>
      </w:r>
      <w:proofErr w:type="spellStart"/>
      <w:r w:rsidRPr="00DE7439">
        <w:rPr>
          <w:rFonts w:cs="Times New Roman"/>
        </w:rPr>
        <w:t>подпоказатели</w:t>
      </w:r>
      <w:proofErr w:type="spellEnd"/>
      <w:r w:rsidRPr="00DE7439">
        <w:rPr>
          <w:rFonts w:cs="Times New Roman"/>
        </w:rPr>
        <w:t>.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Всеки участник има право да представи </w:t>
      </w:r>
      <w:r w:rsidRPr="00DE7439">
        <w:rPr>
          <w:rFonts w:cs="Times New Roman"/>
          <w:b/>
        </w:rPr>
        <w:t xml:space="preserve">само една оферта </w:t>
      </w:r>
      <w:r w:rsidRPr="00DE7439">
        <w:rPr>
          <w:rFonts w:cs="Times New Roman"/>
        </w:rPr>
        <w:t>и само един вариант на оферирания  материал.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  <w:color w:val="000000"/>
        </w:rPr>
        <w:t xml:space="preserve">Плик №1 и плик №2 се запечатват в трети непрозрачен  плик, на който се изписва: 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  <w:i/>
          <w:color w:val="000000"/>
        </w:rPr>
      </w:pPr>
      <w:r w:rsidRPr="00DE7439">
        <w:rPr>
          <w:rFonts w:cs="Times New Roman"/>
          <w:b/>
          <w:color w:val="000000"/>
        </w:rPr>
        <w:t xml:space="preserve"> “Оферта за участие в процедура за избор на обслужваща банка за </w:t>
      </w:r>
      <w:r w:rsidRPr="00DE7439">
        <w:rPr>
          <w:rFonts w:cs="Times New Roman"/>
          <w:b/>
        </w:rPr>
        <w:t xml:space="preserve"> нуждите на СБПФЗДПЛР”Цар Фердинанд І” ЕООД, с.Искрец</w:t>
      </w:r>
      <w:r w:rsidRPr="00DE7439">
        <w:rPr>
          <w:rFonts w:cs="Times New Roman"/>
          <w:color w:val="000000"/>
        </w:rPr>
        <w:t xml:space="preserve">. 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Не се приемат предложения – незапечатани, маркирани и с нарушена цялост. </w:t>
      </w:r>
    </w:p>
    <w:p w:rsidR="00DE7439" w:rsidRDefault="000D7CBF" w:rsidP="00DE7439">
      <w:pPr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Офертите  се подават в деловодството на болницата на  адреса на управление  в с.Искрец, </w:t>
      </w:r>
      <w:proofErr w:type="spellStart"/>
      <w:r w:rsidRPr="00DE7439">
        <w:rPr>
          <w:rFonts w:cs="Times New Roman"/>
        </w:rPr>
        <w:t>пощ</w:t>
      </w:r>
      <w:proofErr w:type="spellEnd"/>
      <w:r w:rsidRPr="00DE7439">
        <w:rPr>
          <w:rFonts w:cs="Times New Roman"/>
        </w:rPr>
        <w:t xml:space="preserve">. код 2290, </w:t>
      </w:r>
      <w:proofErr w:type="spellStart"/>
      <w:r w:rsidRPr="00DE7439">
        <w:rPr>
          <w:rFonts w:cs="Times New Roman"/>
        </w:rPr>
        <w:t>обл</w:t>
      </w:r>
      <w:proofErr w:type="spellEnd"/>
      <w:r w:rsidRPr="00DE7439">
        <w:rPr>
          <w:rFonts w:cs="Times New Roman"/>
        </w:rPr>
        <w:t>.Софийска, общ.Своге, кв.”Санаториума” 213.</w:t>
      </w:r>
    </w:p>
    <w:p w:rsidR="00E61172" w:rsidRPr="00DE7439" w:rsidRDefault="00DE7439" w:rsidP="00DE7439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color w:val="000000"/>
          <w:spacing w:val="-5"/>
        </w:rPr>
        <w:t xml:space="preserve">Срокът за подаване </w:t>
      </w:r>
      <w:r w:rsidR="000D7CBF" w:rsidRPr="00DE7439">
        <w:rPr>
          <w:rFonts w:cs="Times New Roman"/>
          <w:color w:val="000000"/>
          <w:spacing w:val="-5"/>
        </w:rPr>
        <w:t xml:space="preserve"> на </w:t>
      </w:r>
      <w:r w:rsidR="000D7CBF" w:rsidRPr="00DE7439">
        <w:rPr>
          <w:rFonts w:cs="Times New Roman"/>
          <w:spacing w:val="-5"/>
        </w:rPr>
        <w:t xml:space="preserve">офертите  е 10 работни дни от публикуването на поканата  и е  до 15,30 часа </w:t>
      </w:r>
      <w:r w:rsidRPr="00DE7439">
        <w:rPr>
          <w:rFonts w:cs="Times New Roman"/>
          <w:spacing w:val="-5"/>
        </w:rPr>
        <w:t xml:space="preserve"> </w:t>
      </w:r>
      <w:r w:rsidR="000D7CBF" w:rsidRPr="00DE7439">
        <w:rPr>
          <w:rFonts w:cs="Times New Roman"/>
          <w:spacing w:val="-5"/>
        </w:rPr>
        <w:t>на  28.11.2013 година .</w:t>
      </w:r>
    </w:p>
    <w:p w:rsidR="00C30FD7" w:rsidRPr="00DE7439" w:rsidRDefault="00C30FD7" w:rsidP="00DE7439">
      <w:pPr>
        <w:spacing w:line="276" w:lineRule="auto"/>
        <w:ind w:firstLine="708"/>
        <w:jc w:val="both"/>
        <w:rPr>
          <w:rFonts w:cs="Times New Roman"/>
          <w:b/>
          <w:bCs/>
        </w:rPr>
      </w:pPr>
    </w:p>
    <w:sectPr w:rsidR="00C30FD7" w:rsidRPr="00DE7439" w:rsidSect="0073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6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1AF"/>
    <w:rsid w:val="0005060A"/>
    <w:rsid w:val="000D7CBF"/>
    <w:rsid w:val="001261D4"/>
    <w:rsid w:val="00295E34"/>
    <w:rsid w:val="00315C03"/>
    <w:rsid w:val="003F30E7"/>
    <w:rsid w:val="00545F6F"/>
    <w:rsid w:val="006661AF"/>
    <w:rsid w:val="006675EC"/>
    <w:rsid w:val="006E1AEB"/>
    <w:rsid w:val="007301C2"/>
    <w:rsid w:val="00857628"/>
    <w:rsid w:val="009D7A3A"/>
    <w:rsid w:val="009E291F"/>
    <w:rsid w:val="00A2179D"/>
    <w:rsid w:val="00A50ABB"/>
    <w:rsid w:val="00BA2A45"/>
    <w:rsid w:val="00BB7255"/>
    <w:rsid w:val="00C30FD7"/>
    <w:rsid w:val="00DE7439"/>
    <w:rsid w:val="00E6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9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179D"/>
    <w:rPr>
      <w:color w:val="0000FF"/>
      <w:u w:val="single"/>
    </w:rPr>
  </w:style>
  <w:style w:type="paragraph" w:styleId="a4">
    <w:name w:val="Body Text"/>
    <w:basedOn w:val="a"/>
    <w:link w:val="a5"/>
    <w:rsid w:val="00C30FD7"/>
    <w:pPr>
      <w:suppressAutoHyphens w:val="0"/>
    </w:pPr>
    <w:rPr>
      <w:rFonts w:eastAsia="Times New Roman" w:cs="Times New Roman"/>
      <w:kern w:val="0"/>
      <w:lang w:eastAsia="bg-BG" w:bidi="yi-Hebr"/>
    </w:rPr>
  </w:style>
  <w:style w:type="character" w:customStyle="1" w:styleId="a5">
    <w:name w:val="Основен текст Знак"/>
    <w:basedOn w:val="a0"/>
    <w:link w:val="a4"/>
    <w:rsid w:val="00C30FD7"/>
    <w:rPr>
      <w:rFonts w:ascii="Times New Roman" w:eastAsia="Times New Roman" w:hAnsi="Times New Roman" w:cs="Times New Roman"/>
      <w:sz w:val="24"/>
      <w:szCs w:val="24"/>
      <w:lang w:eastAsia="bg-BG" w:bidi="yi-Hebr"/>
    </w:rPr>
  </w:style>
  <w:style w:type="table" w:styleId="a6">
    <w:name w:val="Table Grid"/>
    <w:basedOn w:val="a1"/>
    <w:rsid w:val="000D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9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1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ok</cp:lastModifiedBy>
  <cp:revision>2</cp:revision>
  <dcterms:created xsi:type="dcterms:W3CDTF">2013-11-12T09:31:00Z</dcterms:created>
  <dcterms:modified xsi:type="dcterms:W3CDTF">2013-11-12T09:31:00Z</dcterms:modified>
</cp:coreProperties>
</file>