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8" w:rsidRPr="00910FE8" w:rsidRDefault="00910FE8" w:rsidP="00910FE8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4F31D5" w:rsidRDefault="004F31D5" w:rsidP="00910FE8">
      <w:pPr>
        <w:tabs>
          <w:tab w:val="left" w:pos="555"/>
        </w:tabs>
        <w:spacing w:after="0" w:line="240" w:lineRule="auto"/>
        <w:ind w:left="6535" w:hanging="2424"/>
        <w:jc w:val="center"/>
        <w:rPr>
          <w:rFonts w:eastAsia="SimSun"/>
          <w:b/>
          <w:bCs/>
          <w:i/>
          <w:szCs w:val="24"/>
          <w:lang w:eastAsia="zh-CN"/>
        </w:rPr>
      </w:pPr>
      <w:r>
        <w:rPr>
          <w:rFonts w:eastAsia="SimSun"/>
          <w:b/>
          <w:bCs/>
          <w:i/>
          <w:szCs w:val="24"/>
          <w:lang w:eastAsia="zh-CN"/>
        </w:rPr>
        <w:tab/>
        <w:t xml:space="preserve">                           </w:t>
      </w:r>
      <w:r w:rsidR="00910FE8" w:rsidRPr="00910FE8">
        <w:rPr>
          <w:rFonts w:eastAsia="SimSun"/>
          <w:b/>
          <w:bCs/>
          <w:i/>
          <w:szCs w:val="24"/>
          <w:lang w:eastAsia="zh-CN"/>
        </w:rPr>
        <w:t xml:space="preserve">ОБРАЗЕЦ </w:t>
      </w:r>
    </w:p>
    <w:p w:rsidR="00910FE8" w:rsidRPr="00910FE8" w:rsidRDefault="004F31D5" w:rsidP="00910FE8">
      <w:pPr>
        <w:tabs>
          <w:tab w:val="left" w:pos="555"/>
        </w:tabs>
        <w:spacing w:after="0" w:line="240" w:lineRule="auto"/>
        <w:ind w:left="6535" w:hanging="2424"/>
        <w:jc w:val="center"/>
        <w:rPr>
          <w:rFonts w:eastAsia="SimSun"/>
          <w:b/>
          <w:bCs/>
          <w:i/>
          <w:szCs w:val="24"/>
          <w:lang w:eastAsia="zh-CN"/>
        </w:rPr>
      </w:pPr>
      <w:r>
        <w:rPr>
          <w:rFonts w:eastAsia="SimSun"/>
          <w:b/>
          <w:bCs/>
          <w:i/>
          <w:szCs w:val="24"/>
          <w:lang w:eastAsia="zh-CN"/>
        </w:rPr>
        <w:tab/>
      </w:r>
      <w:r w:rsidR="00910FE8" w:rsidRPr="00910FE8">
        <w:rPr>
          <w:rFonts w:eastAsia="SimSun"/>
          <w:b/>
          <w:bCs/>
          <w:i/>
          <w:szCs w:val="24"/>
          <w:lang w:eastAsia="zh-CN"/>
        </w:rPr>
        <w:t>ОБОСОБЕНА ПОЗИЦИЯ № 2</w:t>
      </w:r>
    </w:p>
    <w:p w:rsidR="004F31D5" w:rsidRDefault="004F31D5" w:rsidP="00910F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outlineLvl w:val="0"/>
        <w:rPr>
          <w:rFonts w:eastAsia="SimSun"/>
          <w:b/>
          <w:color w:val="000000"/>
          <w:spacing w:val="-4"/>
          <w:szCs w:val="24"/>
          <w:lang w:eastAsia="bg-BG"/>
        </w:rPr>
      </w:pPr>
    </w:p>
    <w:p w:rsidR="004F31D5" w:rsidRDefault="004F31D5" w:rsidP="00910F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outlineLvl w:val="0"/>
        <w:rPr>
          <w:rFonts w:eastAsia="SimSun"/>
          <w:b/>
          <w:color w:val="000000"/>
          <w:spacing w:val="-4"/>
          <w:szCs w:val="24"/>
          <w:lang w:eastAsia="bg-BG"/>
        </w:rPr>
      </w:pPr>
    </w:p>
    <w:p w:rsidR="00910FE8" w:rsidRPr="00910FE8" w:rsidRDefault="00910FE8" w:rsidP="00910F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72"/>
        <w:jc w:val="center"/>
        <w:outlineLvl w:val="0"/>
        <w:rPr>
          <w:rFonts w:eastAsia="SimSun"/>
          <w:b/>
          <w:color w:val="000000"/>
          <w:spacing w:val="-4"/>
          <w:szCs w:val="24"/>
          <w:lang w:eastAsia="bg-BG"/>
        </w:rPr>
      </w:pPr>
      <w:r w:rsidRPr="00910FE8">
        <w:rPr>
          <w:rFonts w:eastAsia="SimSun"/>
          <w:b/>
          <w:color w:val="000000"/>
          <w:spacing w:val="-4"/>
          <w:szCs w:val="24"/>
          <w:lang w:eastAsia="bg-BG"/>
        </w:rPr>
        <w:t xml:space="preserve"> ТЕХНИЧЕСКО ПРЕДЛОЖЕНИЕ ЗА </w:t>
      </w:r>
    </w:p>
    <w:p w:rsidR="00910FE8" w:rsidRPr="00910FE8" w:rsidRDefault="00910FE8" w:rsidP="00910FE8">
      <w:pPr>
        <w:spacing w:after="0" w:line="240" w:lineRule="auto"/>
        <w:jc w:val="center"/>
        <w:rPr>
          <w:rFonts w:eastAsia="SimSun"/>
          <w:b/>
          <w:bCs/>
          <w:color w:val="000000"/>
          <w:spacing w:val="2"/>
          <w:szCs w:val="24"/>
          <w:vertAlign w:val="superscript"/>
          <w:lang w:eastAsia="zh-CN"/>
        </w:rPr>
      </w:pPr>
      <w:r w:rsidRPr="00910FE8">
        <w:rPr>
          <w:rFonts w:eastAsia="SimSun"/>
          <w:b/>
          <w:bCs/>
          <w:color w:val="000000"/>
          <w:spacing w:val="2"/>
          <w:szCs w:val="24"/>
          <w:lang w:eastAsia="zh-CN"/>
        </w:rPr>
        <w:t>ЗА УЧАСТИЕ В ПРОЦЕДУРА ПРОВЕЖДАНА ПО РЕДА НА ГЛАВА 8</w:t>
      </w:r>
      <w:r w:rsidRPr="00910FE8">
        <w:rPr>
          <w:rFonts w:eastAsia="SimSun"/>
          <w:b/>
          <w:bCs/>
          <w:color w:val="000000"/>
          <w:spacing w:val="2"/>
          <w:szCs w:val="24"/>
          <w:vertAlign w:val="superscript"/>
          <w:lang w:eastAsia="zh-CN"/>
        </w:rPr>
        <w:t>а</w:t>
      </w:r>
    </w:p>
    <w:p w:rsidR="00910FE8" w:rsidRPr="00910FE8" w:rsidRDefault="00910FE8" w:rsidP="00910FE8">
      <w:pPr>
        <w:spacing w:after="0" w:line="240" w:lineRule="auto"/>
        <w:jc w:val="center"/>
        <w:rPr>
          <w:rFonts w:eastAsia="SimSun"/>
          <w:b/>
          <w:bCs/>
          <w:szCs w:val="24"/>
          <w:lang w:eastAsia="zh-CN"/>
        </w:rPr>
      </w:pPr>
      <w:r w:rsidRPr="00910FE8">
        <w:rPr>
          <w:rFonts w:eastAsia="SimSun"/>
          <w:b/>
          <w:bCs/>
          <w:color w:val="000000"/>
          <w:spacing w:val="2"/>
          <w:szCs w:val="24"/>
          <w:lang w:eastAsia="zh-CN"/>
        </w:rPr>
        <w:t>ПО ОБОСОБЕНА ПОЗИЦИЯ №2 С ПРЕДМЕТ:</w:t>
      </w:r>
      <w:r w:rsidRPr="00910FE8">
        <w:rPr>
          <w:rFonts w:eastAsia="SimSun"/>
          <w:szCs w:val="24"/>
          <w:lang w:eastAsia="zh-CN"/>
        </w:rPr>
        <w:t xml:space="preserve"> </w:t>
      </w:r>
      <w:r w:rsidRPr="00910FE8">
        <w:rPr>
          <w:rFonts w:eastAsia="SimSun"/>
          <w:b/>
          <w:bCs/>
          <w:i/>
          <w:szCs w:val="24"/>
          <w:lang w:eastAsia="zh-CN"/>
        </w:rPr>
        <w:t>„</w:t>
      </w:r>
      <w:r w:rsidRPr="00910FE8">
        <w:rPr>
          <w:rFonts w:eastAsia="SimSun"/>
          <w:b/>
          <w:bCs/>
          <w:szCs w:val="24"/>
          <w:lang w:eastAsia="zh-CN"/>
        </w:rPr>
        <w:t>ПРОВЕЖДАНЕ НА ДВУДНЕВНА НАЦИОНАЛНА КОНФЕРЕНЦИЯ И ИЗГОТВЯНЕ НА ИНФОРМАЦИОННИ МАТЕРИАЛИ В ИЗПЪЛНЕНИЕ НА ПРОЕКТ № 0130-МЗ-3.2 СМАРТ РЕШЕНИЯ (СТАТИСТИЧЕСКИ МОДЕЛИ ЗА АРГУМЕНТИРАНИ РАЦИОНАЛНИ И ТАКТИЧЕСКИ РЕШЕНИЯ).“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</w:p>
    <w:p w:rsidR="00910FE8" w:rsidRPr="00910FE8" w:rsidRDefault="00910FE8" w:rsidP="00910FE8">
      <w:pPr>
        <w:spacing w:after="0" w:line="240" w:lineRule="auto"/>
        <w:jc w:val="center"/>
        <w:rPr>
          <w:rFonts w:eastAsia="SimSun"/>
          <w:b/>
          <w:bCs/>
          <w:color w:val="000000"/>
          <w:spacing w:val="2"/>
          <w:szCs w:val="24"/>
          <w:lang w:eastAsia="zh-CN"/>
        </w:rPr>
      </w:pPr>
    </w:p>
    <w:p w:rsidR="00910FE8" w:rsidRPr="00910FE8" w:rsidRDefault="00910FE8" w:rsidP="00910FE8">
      <w:pPr>
        <w:spacing w:after="0" w:line="240" w:lineRule="auto"/>
        <w:jc w:val="center"/>
        <w:rPr>
          <w:rFonts w:eastAsia="SimSun"/>
          <w:b/>
          <w:bCs/>
          <w:color w:val="000000"/>
          <w:spacing w:val="2"/>
          <w:szCs w:val="24"/>
          <w:lang w:eastAsia="zh-CN"/>
        </w:rPr>
      </w:pPr>
    </w:p>
    <w:p w:rsidR="00910FE8" w:rsidRPr="00910FE8" w:rsidRDefault="00910FE8" w:rsidP="00910FE8">
      <w:pPr>
        <w:spacing w:after="0" w:line="240" w:lineRule="auto"/>
        <w:ind w:right="50"/>
        <w:jc w:val="both"/>
        <w:rPr>
          <w:rFonts w:eastAsia="MS ??"/>
          <w:color w:val="000000"/>
          <w:spacing w:val="2"/>
          <w:szCs w:val="24"/>
          <w:lang w:eastAsia="bg-BG"/>
        </w:rPr>
      </w:pPr>
      <w:r w:rsidRPr="00910FE8">
        <w:rPr>
          <w:rFonts w:eastAsia="MS ??"/>
          <w:szCs w:val="24"/>
          <w:lang w:eastAsia="bg-BG"/>
        </w:rPr>
        <w:t>Долуподписаният /-</w:t>
      </w:r>
      <w:proofErr w:type="spellStart"/>
      <w:r w:rsidRPr="00910FE8">
        <w:rPr>
          <w:rFonts w:eastAsia="MS ??"/>
          <w:szCs w:val="24"/>
          <w:lang w:eastAsia="bg-BG"/>
        </w:rPr>
        <w:t>ната</w:t>
      </w:r>
      <w:proofErr w:type="spellEnd"/>
      <w:r w:rsidRPr="00910FE8">
        <w:rPr>
          <w:rFonts w:eastAsia="MS ??"/>
          <w:szCs w:val="24"/>
          <w:lang w:eastAsia="bg-BG"/>
        </w:rPr>
        <w:t xml:space="preserve">/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, ЕГН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, в качеството ми на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 </w:t>
      </w:r>
      <w:r w:rsidRPr="00910FE8">
        <w:rPr>
          <w:rFonts w:eastAsia="MS ??"/>
          <w:i/>
          <w:szCs w:val="24"/>
          <w:lang w:eastAsia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910FE8">
        <w:rPr>
          <w:rFonts w:eastAsia="MS ??"/>
          <w:szCs w:val="24"/>
          <w:lang w:eastAsia="bg-BG"/>
        </w:rPr>
        <w:t xml:space="preserve">на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i/>
          <w:szCs w:val="24"/>
          <w:lang w:eastAsia="bg-BG"/>
        </w:rPr>
        <w:t xml:space="preserve">(посочва се фирмата на участника), </w:t>
      </w:r>
      <w:r w:rsidRPr="00910FE8">
        <w:rPr>
          <w:rFonts w:eastAsia="MS ??"/>
          <w:szCs w:val="24"/>
          <w:lang w:eastAsia="bg-BG"/>
        </w:rPr>
        <w:t xml:space="preserve">ЕИК: .___________________ със седалище и адрес на управление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i/>
          <w:szCs w:val="24"/>
          <w:lang w:eastAsia="bg-BG"/>
        </w:rPr>
        <w:t xml:space="preserve"> </w:t>
      </w:r>
      <w:r w:rsidRPr="00910FE8">
        <w:rPr>
          <w:rFonts w:eastAsia="MS ??"/>
          <w:szCs w:val="24"/>
          <w:lang w:eastAsia="bg-BG"/>
        </w:rPr>
        <w:t>-</w:t>
      </w:r>
    </w:p>
    <w:p w:rsidR="00910FE8" w:rsidRPr="00910FE8" w:rsidRDefault="00910FE8" w:rsidP="00910FE8">
      <w:pPr>
        <w:widowControl w:val="0"/>
        <w:autoSpaceDE w:val="0"/>
        <w:autoSpaceDN w:val="0"/>
        <w:adjustRightInd w:val="0"/>
        <w:spacing w:after="0" w:line="240" w:lineRule="auto"/>
        <w:ind w:firstLine="513"/>
        <w:jc w:val="both"/>
        <w:rPr>
          <w:rFonts w:eastAsia="Verdana-Bold"/>
          <w:b/>
          <w:bCs/>
          <w:color w:val="000000"/>
          <w:szCs w:val="24"/>
          <w:u w:val="single"/>
          <w:lang w:eastAsia="bg-BG"/>
        </w:rPr>
      </w:pPr>
    </w:p>
    <w:p w:rsidR="00910FE8" w:rsidRPr="00910FE8" w:rsidRDefault="00910FE8" w:rsidP="00910FE8">
      <w:pPr>
        <w:widowControl w:val="0"/>
        <w:autoSpaceDE w:val="0"/>
        <w:autoSpaceDN w:val="0"/>
        <w:adjustRightInd w:val="0"/>
        <w:spacing w:after="0" w:line="240" w:lineRule="auto"/>
        <w:ind w:firstLine="513"/>
        <w:jc w:val="both"/>
        <w:rPr>
          <w:rFonts w:eastAsia="Verdana-Bold"/>
          <w:b/>
          <w:bCs/>
          <w:color w:val="000000"/>
          <w:szCs w:val="24"/>
          <w:u w:val="single"/>
          <w:lang w:eastAsia="bg-BG"/>
        </w:rPr>
      </w:pPr>
      <w:r w:rsidRPr="00910FE8">
        <w:rPr>
          <w:rFonts w:eastAsia="Verdana-Bold"/>
          <w:b/>
          <w:bCs/>
          <w:color w:val="000000"/>
          <w:szCs w:val="24"/>
          <w:u w:val="single"/>
          <w:lang w:eastAsia="bg-BG"/>
        </w:rPr>
        <w:t>УВАЖАЕМИ ДАМИ И ГОСПОДА,</w:t>
      </w:r>
    </w:p>
    <w:p w:rsidR="00910FE8" w:rsidRPr="00910FE8" w:rsidRDefault="00910FE8" w:rsidP="00910F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color w:val="000000"/>
          <w:szCs w:val="24"/>
          <w:u w:val="single"/>
          <w:lang w:eastAsia="bg-BG"/>
        </w:rPr>
      </w:pPr>
    </w:p>
    <w:p w:rsidR="00910FE8" w:rsidRPr="00910FE8" w:rsidRDefault="00910FE8" w:rsidP="00910FE8">
      <w:pPr>
        <w:spacing w:after="0" w:line="240" w:lineRule="auto"/>
        <w:jc w:val="both"/>
        <w:rPr>
          <w:rFonts w:eastAsia="Batang"/>
          <w:bCs/>
          <w:color w:val="000000"/>
          <w:spacing w:val="-1"/>
          <w:szCs w:val="24"/>
          <w:lang w:eastAsia="bg-BG"/>
        </w:rPr>
      </w:pPr>
      <w:r w:rsidRPr="00910FE8">
        <w:rPr>
          <w:rFonts w:eastAsia="Verdana-Bold"/>
          <w:color w:val="000000"/>
          <w:szCs w:val="24"/>
          <w:lang w:eastAsia="bg-BG"/>
        </w:rPr>
        <w:t xml:space="preserve">С настоящото, Ви представяме нашето техническо предложение за изпълнение на </w:t>
      </w:r>
      <w:r w:rsidRPr="00910FE8">
        <w:rPr>
          <w:rFonts w:eastAsia="Times New Roman"/>
          <w:bCs/>
          <w:color w:val="000000"/>
          <w:spacing w:val="1"/>
          <w:szCs w:val="24"/>
          <w:lang w:eastAsia="bg-BG"/>
        </w:rPr>
        <w:t>обявената от Вас обществена поръчка с предмет:</w:t>
      </w:r>
      <w:r w:rsidRPr="00910FE8">
        <w:rPr>
          <w:rFonts w:eastAsia="Times New Roman"/>
          <w:b/>
          <w:bCs/>
          <w:color w:val="000000"/>
          <w:szCs w:val="24"/>
        </w:rPr>
        <w:t xml:space="preserve"> „Провеждане на двудневна национална конференция и изготвяне на информационни материали в изпълнение на проект № 0130-МЗ-3.2 СМАРТ решения (Статистически Модели за Аргументирани Рационални и Тактически решения)“ , </w:t>
      </w:r>
      <w:r w:rsidRPr="00910FE8">
        <w:rPr>
          <w:rFonts w:eastAsia="Batang"/>
          <w:bCs/>
          <w:color w:val="000000"/>
          <w:spacing w:val="-1"/>
          <w:szCs w:val="24"/>
          <w:lang w:eastAsia="bg-BG"/>
        </w:rPr>
        <w:t>предложените от нас услуги, които ще доставяме, са подробно описани в настоящето предложение: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b/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 xml:space="preserve">1. Потвърждаваме, че ще изпълним необходимите дейности във връзка с реализацията на поръчката, в съответствие с изискванията на Възложителя  при точно спазване на изискванията заложени в документацията за участие и техническата спецификация. 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2. Приемаме да се считаме обвързани от задълженията и условията, поети с офертата до изтичане на 90 /деветдесет / календарни дни включително от крайния срок за получаване на оферти.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bCs/>
          <w:szCs w:val="24"/>
        </w:rPr>
        <w:t xml:space="preserve">3. Ако бъдем избрани за изпълнител, поемаме ангажимент да изпълним дейностите, предмет на настоящата обществена поръчката в срок </w:t>
      </w:r>
      <w:r w:rsidRPr="00910FE8">
        <w:rPr>
          <w:szCs w:val="24"/>
        </w:rPr>
        <w:t>до 15.05.2015 г., считано от дата на сключване на договора за възлагане на поръчката.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4. Гарантираме, че сме в състояние да изпълним качествено поръчката и в срок в пълно съответствие с гореописаното техническо предложение.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5. Заявяваме, че ако поръчката бъде възложена на нас, до подписване на договора за изпълнение, настоящото техническо предложение ще представлява споразумение между нас и възложителя.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6. Декларирам, че в случай, че бъда избран за изпълнител на обществената поръчка, ще осигуря</w:t>
      </w:r>
      <w:r w:rsidRPr="00910FE8">
        <w:rPr>
          <w:bCs/>
          <w:szCs w:val="24"/>
        </w:rPr>
        <w:t xml:space="preserve"> хотели, които имат капацитет и възможности за настаняване на определения брой лица за провеждане на събитията, съгласно изискванията на настоящата документация.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 xml:space="preserve">7. Предложение за изпълнение на поръчката – 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В случай, че бъдем избрани за изпълнител ще извършим следното: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7.1. Логистична организация за обученията и на настаняването в хотел, както следва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 xml:space="preserve"> 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7.1.</w:t>
      </w:r>
      <w:proofErr w:type="spellStart"/>
      <w:r w:rsidRPr="00910FE8">
        <w:rPr>
          <w:szCs w:val="24"/>
        </w:rPr>
        <w:t>1</w:t>
      </w:r>
      <w:proofErr w:type="spellEnd"/>
      <w:r w:rsidRPr="00910FE8">
        <w:rPr>
          <w:szCs w:val="24"/>
        </w:rPr>
        <w:t xml:space="preserve">. За изпълнение на поръчката предлагаме да осигурим зали за </w:t>
      </w:r>
      <w:r w:rsidR="00B41569">
        <w:rPr>
          <w:szCs w:val="24"/>
        </w:rPr>
        <w:t xml:space="preserve">събитието </w:t>
      </w:r>
      <w:r w:rsidRPr="00910FE8">
        <w:rPr>
          <w:szCs w:val="24"/>
        </w:rPr>
        <w:t>и настаняване в следните хотели: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За дейност № .....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а). основен хотел: .................................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 xml:space="preserve">б). 2 резервни хотели: ............................... 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910FE8">
        <w:rPr>
          <w:i/>
          <w:szCs w:val="24"/>
        </w:rPr>
        <w:t xml:space="preserve">!!! *** Обхватът на зона “Център” на гр. София е определен в Приложение № 1 на Наредба за организация на движението на територията на Столична община, съгласно което граници на зоната са: “ул."Опълченска", бул. "Сливница", бул. "Ген. Данаил Николаев",бул. "Евлоги Георгиев", бул. "България", бул. "Пенчо Славейков", бул. "Ген. Тотлебен", бул. "Ген. М. Д. </w:t>
      </w:r>
      <w:proofErr w:type="spellStart"/>
      <w:r w:rsidRPr="00910FE8">
        <w:rPr>
          <w:i/>
          <w:szCs w:val="24"/>
        </w:rPr>
        <w:t>Скобелев</w:t>
      </w:r>
      <w:proofErr w:type="spellEnd"/>
      <w:r w:rsidRPr="00910FE8">
        <w:rPr>
          <w:i/>
          <w:szCs w:val="24"/>
        </w:rPr>
        <w:t>", ул. "Опълченска"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910FE8">
        <w:rPr>
          <w:i/>
          <w:szCs w:val="24"/>
        </w:rPr>
        <w:t>Забележка: Граничните улици и булеварди не влизат в обхвата на зоната.”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910FE8">
        <w:rPr>
          <w:i/>
          <w:szCs w:val="24"/>
        </w:rPr>
        <w:t>*** Участникът следва да предложи 1 основен хотел и 2 резервни хотели, които следва да са с характеристики еквивалентни на основния хотел – категория хотел и район на местоположение.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910FE8">
        <w:rPr>
          <w:i/>
          <w:szCs w:val="24"/>
        </w:rPr>
        <w:t xml:space="preserve">Осигуряването на транспорт до </w:t>
      </w:r>
      <w:proofErr w:type="spellStart"/>
      <w:r w:rsidRPr="00910FE8">
        <w:rPr>
          <w:i/>
          <w:szCs w:val="24"/>
        </w:rPr>
        <w:t>конферентната</w:t>
      </w:r>
      <w:proofErr w:type="spellEnd"/>
      <w:r w:rsidRPr="00910FE8">
        <w:rPr>
          <w:i/>
          <w:szCs w:val="24"/>
        </w:rPr>
        <w:t xml:space="preserve"> зала, следва да бъде включено в предложението на участниците.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 xml:space="preserve">7.1.2. Менюто за </w:t>
      </w:r>
      <w:proofErr w:type="spellStart"/>
      <w:r w:rsidRPr="00910FE8">
        <w:rPr>
          <w:szCs w:val="24"/>
        </w:rPr>
        <w:t>кетъринг</w:t>
      </w:r>
      <w:proofErr w:type="spellEnd"/>
      <w:r w:rsidRPr="00910FE8">
        <w:rPr>
          <w:szCs w:val="24"/>
        </w:rPr>
        <w:t xml:space="preserve"> ще включва следното: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10FE8">
        <w:rPr>
          <w:szCs w:val="24"/>
        </w:rPr>
        <w:t>…………………………..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i/>
          <w:szCs w:val="24"/>
        </w:rPr>
      </w:pPr>
      <w:r w:rsidRPr="00910FE8">
        <w:rPr>
          <w:i/>
          <w:szCs w:val="24"/>
        </w:rPr>
        <w:t>Забележка: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Cs w:val="24"/>
        </w:rPr>
      </w:pPr>
      <w:r w:rsidRPr="00910FE8">
        <w:rPr>
          <w:b/>
          <w:i/>
          <w:szCs w:val="24"/>
        </w:rPr>
        <w:t>Участниците описват подробно дейностите, които ще извършат при изпълнение на услугата, съобразно техническата спецификация.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910FE8" w:rsidRPr="00910FE8" w:rsidTr="00C45D6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________/ _________ / ______</w:t>
            </w:r>
          </w:p>
        </w:tc>
      </w:tr>
      <w:tr w:rsidR="00910FE8" w:rsidRPr="00910FE8" w:rsidTr="00C45D6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__________________________</w:t>
            </w:r>
          </w:p>
        </w:tc>
      </w:tr>
      <w:tr w:rsidR="00910FE8" w:rsidRPr="00910FE8" w:rsidTr="00C45D6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__________________________</w:t>
            </w:r>
          </w:p>
        </w:tc>
      </w:tr>
      <w:tr w:rsidR="00910FE8" w:rsidRPr="00910FE8" w:rsidTr="00C45D6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__________________________</w:t>
            </w:r>
          </w:p>
        </w:tc>
      </w:tr>
      <w:tr w:rsidR="00910FE8" w:rsidRPr="00910FE8" w:rsidTr="00C45D6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10FE8" w:rsidRPr="00910FE8" w:rsidRDefault="00910FE8" w:rsidP="00910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 w:rsidRPr="00910FE8">
              <w:rPr>
                <w:szCs w:val="24"/>
              </w:rPr>
              <w:t>__________________________</w:t>
            </w:r>
          </w:p>
        </w:tc>
      </w:tr>
    </w:tbl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</w:p>
    <w:p w:rsidR="00910FE8" w:rsidRPr="00910FE8" w:rsidRDefault="00910FE8" w:rsidP="00910FE8">
      <w:pPr>
        <w:rPr>
          <w:szCs w:val="24"/>
        </w:rPr>
      </w:pPr>
      <w:r w:rsidRPr="00910FE8">
        <w:rPr>
          <w:szCs w:val="24"/>
        </w:rPr>
        <w:br w:type="page"/>
      </w:r>
    </w:p>
    <w:p w:rsid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szCs w:val="24"/>
          <w:lang w:val="en-US"/>
        </w:rPr>
      </w:pPr>
    </w:p>
    <w:p w:rsidR="004F31D5" w:rsidRDefault="004F31D5" w:rsidP="004F31D5">
      <w:pPr>
        <w:tabs>
          <w:tab w:val="left" w:pos="555"/>
        </w:tabs>
        <w:spacing w:after="0" w:line="240" w:lineRule="auto"/>
        <w:ind w:left="7080" w:hanging="2424"/>
        <w:jc w:val="center"/>
        <w:rPr>
          <w:rFonts w:eastAsia="SimSun"/>
          <w:b/>
          <w:bCs/>
          <w:i/>
          <w:szCs w:val="24"/>
          <w:lang w:eastAsia="zh-CN"/>
        </w:rPr>
      </w:pP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>
        <w:rPr>
          <w:szCs w:val="24"/>
          <w:lang w:val="en-US"/>
        </w:rPr>
        <w:tab/>
      </w:r>
      <w:r w:rsidRPr="004F31D5">
        <w:rPr>
          <w:i/>
          <w:szCs w:val="24"/>
          <w:lang w:val="en-US"/>
        </w:rPr>
        <w:tab/>
      </w:r>
      <w:r>
        <w:rPr>
          <w:rFonts w:eastAsia="SimSun"/>
          <w:b/>
          <w:bCs/>
          <w:i/>
          <w:szCs w:val="24"/>
          <w:lang w:eastAsia="zh-CN"/>
        </w:rPr>
        <w:t xml:space="preserve">                           </w:t>
      </w:r>
      <w:r>
        <w:rPr>
          <w:rFonts w:eastAsia="SimSun"/>
          <w:b/>
          <w:bCs/>
          <w:i/>
          <w:szCs w:val="24"/>
          <w:lang w:eastAsia="zh-CN"/>
        </w:rPr>
        <w:t xml:space="preserve">                  </w:t>
      </w:r>
      <w:bookmarkStart w:id="0" w:name="_GoBack"/>
      <w:bookmarkEnd w:id="0"/>
      <w:r w:rsidRPr="00910FE8">
        <w:rPr>
          <w:rFonts w:eastAsia="SimSun"/>
          <w:b/>
          <w:bCs/>
          <w:i/>
          <w:szCs w:val="24"/>
          <w:lang w:eastAsia="zh-CN"/>
        </w:rPr>
        <w:t xml:space="preserve">ОБРАЗЕЦ </w:t>
      </w:r>
    </w:p>
    <w:p w:rsidR="004F31D5" w:rsidRPr="00910FE8" w:rsidRDefault="004F31D5" w:rsidP="004F31D5">
      <w:pPr>
        <w:tabs>
          <w:tab w:val="left" w:pos="555"/>
        </w:tabs>
        <w:spacing w:after="0" w:line="240" w:lineRule="auto"/>
        <w:ind w:left="6535" w:hanging="2424"/>
        <w:jc w:val="center"/>
        <w:rPr>
          <w:rFonts w:eastAsia="SimSun"/>
          <w:b/>
          <w:bCs/>
          <w:i/>
          <w:szCs w:val="24"/>
          <w:lang w:eastAsia="zh-CN"/>
        </w:rPr>
      </w:pPr>
      <w:r>
        <w:rPr>
          <w:rFonts w:eastAsia="SimSun"/>
          <w:b/>
          <w:bCs/>
          <w:i/>
          <w:szCs w:val="24"/>
          <w:lang w:eastAsia="zh-CN"/>
        </w:rPr>
        <w:tab/>
      </w:r>
      <w:r w:rsidRPr="00910FE8">
        <w:rPr>
          <w:rFonts w:eastAsia="SimSun"/>
          <w:b/>
          <w:bCs/>
          <w:i/>
          <w:szCs w:val="24"/>
          <w:lang w:eastAsia="zh-CN"/>
        </w:rPr>
        <w:t>ОБОСОБЕНА ПОЗИЦИЯ № 2</w:t>
      </w:r>
    </w:p>
    <w:p w:rsidR="00910FE8" w:rsidRPr="00910FE8" w:rsidRDefault="004F31D5" w:rsidP="004F31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4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Cs w:val="24"/>
          <w:lang w:eastAsia="ar-SA"/>
        </w:rPr>
      </w:pPr>
      <w:r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</w:r>
      <w:r>
        <w:rPr>
          <w:rFonts w:eastAsia="Times New Roman"/>
          <w:b/>
          <w:szCs w:val="24"/>
          <w:lang w:eastAsia="ar-SA"/>
        </w:rPr>
        <w:tab/>
        <w:t xml:space="preserve">            </w:t>
      </w:r>
      <w:r w:rsidR="00910FE8" w:rsidRPr="00910FE8">
        <w:rPr>
          <w:rFonts w:eastAsia="Times New Roman"/>
          <w:b/>
          <w:szCs w:val="24"/>
          <w:lang w:eastAsia="ar-SA"/>
        </w:rPr>
        <w:t>ЦЕНОВО ПРЕДЛОЖЕНИЕ</w:t>
      </w:r>
    </w:p>
    <w:p w:rsidR="00910FE8" w:rsidRPr="00910FE8" w:rsidRDefault="00910FE8" w:rsidP="00910FE8">
      <w:pPr>
        <w:spacing w:after="0" w:line="240" w:lineRule="auto"/>
        <w:jc w:val="center"/>
        <w:rPr>
          <w:rFonts w:eastAsia="Times New Roman"/>
          <w:b/>
          <w:szCs w:val="24"/>
          <w:vertAlign w:val="superscript"/>
          <w:lang w:eastAsia="ar-SA"/>
        </w:rPr>
      </w:pPr>
      <w:r w:rsidRPr="00910FE8">
        <w:rPr>
          <w:rFonts w:eastAsia="Times New Roman"/>
          <w:b/>
          <w:szCs w:val="24"/>
          <w:lang w:eastAsia="ar-SA"/>
        </w:rPr>
        <w:t>ЗА УЧАСТИЕ В ПРОЦЕДУРА ПРОВЕЖДАНА ПО РЕДА НА ГЛАВА 8</w:t>
      </w:r>
      <w:r w:rsidRPr="00910FE8">
        <w:rPr>
          <w:rFonts w:eastAsia="Times New Roman"/>
          <w:b/>
          <w:szCs w:val="24"/>
          <w:vertAlign w:val="superscript"/>
          <w:lang w:eastAsia="ar-SA"/>
        </w:rPr>
        <w:t>а</w:t>
      </w:r>
    </w:p>
    <w:p w:rsidR="00910FE8" w:rsidRPr="00910FE8" w:rsidRDefault="00910FE8" w:rsidP="00910FE8">
      <w:pPr>
        <w:spacing w:after="0" w:line="240" w:lineRule="auto"/>
        <w:jc w:val="center"/>
        <w:rPr>
          <w:rFonts w:eastAsia="Times New Roman"/>
          <w:b/>
          <w:szCs w:val="24"/>
        </w:rPr>
      </w:pPr>
      <w:r w:rsidRPr="00910FE8">
        <w:rPr>
          <w:rFonts w:eastAsia="Times New Roman"/>
          <w:b/>
          <w:szCs w:val="24"/>
          <w:lang w:eastAsia="ar-SA"/>
        </w:rPr>
        <w:t xml:space="preserve">ПО  </w:t>
      </w:r>
      <w:r w:rsidRPr="00910FE8">
        <w:rPr>
          <w:rFonts w:eastAsia="Times New Roman"/>
          <w:b/>
          <w:szCs w:val="24"/>
        </w:rPr>
        <w:t>ОБОСОБЕНА ПОЗИЦИЯ №2 С ПРЕДМЕТ: „ПРОВЕЖДАНЕ НА ДВУДНЕВНА НАЦИОНАЛНА КОНФЕРЕНЦИЯ И ИЗГОТВЯНЕ НА ИНФОРМАЦИОННИ МАТЕРИАЛИ В ИЗПЪЛНЕНИЕ НА ПРОЕКТ № 0130-МЗ-3.2 СМАРТ РЕШЕНИЯ (СТАТИСТИЧЕСКИ МОДЕЛИ ЗА АРГУМЕНТИРАНИ РАЦИОНАЛНИ И ТАКТИЧЕСКИ РЕШЕНИЯ).“</w:t>
      </w:r>
    </w:p>
    <w:p w:rsidR="00910FE8" w:rsidRPr="00910FE8" w:rsidRDefault="00910FE8" w:rsidP="00910FE8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bg-BG"/>
        </w:rPr>
      </w:pPr>
    </w:p>
    <w:p w:rsidR="00910FE8" w:rsidRPr="00910FE8" w:rsidRDefault="00910FE8" w:rsidP="00910FE8">
      <w:pPr>
        <w:spacing w:after="0" w:line="240" w:lineRule="auto"/>
        <w:ind w:right="50"/>
        <w:jc w:val="both"/>
        <w:rPr>
          <w:rFonts w:eastAsia="MS ??"/>
          <w:color w:val="000000"/>
          <w:spacing w:val="2"/>
          <w:szCs w:val="24"/>
          <w:lang w:eastAsia="bg-BG"/>
        </w:rPr>
      </w:pPr>
      <w:r w:rsidRPr="00910FE8">
        <w:rPr>
          <w:rFonts w:eastAsia="MS ??"/>
          <w:szCs w:val="24"/>
          <w:lang w:eastAsia="bg-BG"/>
        </w:rPr>
        <w:t>Долуподписаният /-</w:t>
      </w:r>
      <w:proofErr w:type="spellStart"/>
      <w:r w:rsidRPr="00910FE8">
        <w:rPr>
          <w:rFonts w:eastAsia="MS ??"/>
          <w:szCs w:val="24"/>
          <w:lang w:eastAsia="bg-BG"/>
        </w:rPr>
        <w:t>ната</w:t>
      </w:r>
      <w:proofErr w:type="spellEnd"/>
      <w:r w:rsidRPr="00910FE8">
        <w:rPr>
          <w:rFonts w:eastAsia="MS ??"/>
          <w:szCs w:val="24"/>
          <w:lang w:eastAsia="bg-BG"/>
        </w:rPr>
        <w:t xml:space="preserve">/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, ЕГН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, в качеството ми на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lang w:eastAsia="bg-BG"/>
        </w:rPr>
        <w:t xml:space="preserve"> </w:t>
      </w:r>
      <w:r w:rsidRPr="00910FE8">
        <w:rPr>
          <w:rFonts w:eastAsia="MS ??"/>
          <w:i/>
          <w:szCs w:val="24"/>
          <w:lang w:eastAsia="bg-BG"/>
        </w:rPr>
        <w:t xml:space="preserve">(посочва се длъжността и качеството, в което лицето има право да представлява и управлява – напр. Изпълнителен директор, управител и др.) </w:t>
      </w:r>
      <w:r w:rsidRPr="00910FE8">
        <w:rPr>
          <w:rFonts w:eastAsia="MS ??"/>
          <w:szCs w:val="24"/>
          <w:lang w:eastAsia="bg-BG"/>
        </w:rPr>
        <w:t xml:space="preserve">на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i/>
          <w:szCs w:val="24"/>
          <w:lang w:eastAsia="bg-BG"/>
        </w:rPr>
        <w:t xml:space="preserve">(посочва се фирмата на участника), </w:t>
      </w:r>
      <w:r w:rsidRPr="00910FE8">
        <w:rPr>
          <w:rFonts w:eastAsia="MS ??"/>
          <w:szCs w:val="24"/>
          <w:lang w:eastAsia="bg-BG"/>
        </w:rPr>
        <w:t xml:space="preserve">ЕИК: .___________________ със седалище и адрес на управление </w:t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szCs w:val="24"/>
          <w:u w:val="single"/>
          <w:lang w:eastAsia="bg-BG"/>
        </w:rPr>
        <w:tab/>
      </w:r>
      <w:r w:rsidRPr="00910FE8">
        <w:rPr>
          <w:rFonts w:eastAsia="MS ??"/>
          <w:i/>
          <w:szCs w:val="24"/>
          <w:lang w:eastAsia="bg-BG"/>
        </w:rPr>
        <w:t xml:space="preserve"> </w:t>
      </w:r>
      <w:r w:rsidRPr="00910FE8">
        <w:rPr>
          <w:rFonts w:eastAsia="MS ??"/>
          <w:szCs w:val="24"/>
          <w:lang w:eastAsia="bg-BG"/>
        </w:rPr>
        <w:t>-</w:t>
      </w:r>
    </w:p>
    <w:p w:rsidR="00910FE8" w:rsidRPr="00910FE8" w:rsidRDefault="00910FE8" w:rsidP="00910FE8">
      <w:pPr>
        <w:suppressAutoHyphens/>
        <w:spacing w:after="0" w:line="240" w:lineRule="auto"/>
        <w:jc w:val="center"/>
        <w:rPr>
          <w:rFonts w:eastAsia="Times New Roman"/>
          <w:b/>
          <w:szCs w:val="24"/>
          <w:lang w:eastAsia="ar-SA"/>
        </w:rPr>
      </w:pPr>
    </w:p>
    <w:p w:rsidR="00910FE8" w:rsidRPr="00910FE8" w:rsidRDefault="00910FE8" w:rsidP="00910F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Cs w:val="24"/>
          <w:lang w:eastAsia="ar-SA"/>
        </w:rPr>
      </w:pPr>
      <w:r w:rsidRPr="00910FE8">
        <w:rPr>
          <w:rFonts w:eastAsia="Verdana-Bold"/>
          <w:b/>
          <w:bCs/>
          <w:szCs w:val="24"/>
          <w:lang w:eastAsia="ar-SA"/>
        </w:rPr>
        <w:t>УВАЖАЕМИ ГОСПОЖИ И ГОСПОДА,</w:t>
      </w:r>
    </w:p>
    <w:p w:rsidR="00910FE8" w:rsidRPr="00910FE8" w:rsidRDefault="00910FE8" w:rsidP="00910FE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szCs w:val="24"/>
          <w:lang w:eastAsia="ar-SA"/>
        </w:rPr>
      </w:pP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С настоящото, Ви представяме ценова оферта за участие в обявената от Вас обществена поръчка по обособена позиция № 2 с горепосочения предмет.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Поемаме ангажимент да изпълним предмета на поръчката в съответствие с изискванията Ви, заложени в “Техническата спецификация” по обособена позиция № 2 на настоящата поръчка.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_________________ лева без ДДС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Словом: ________________________________________________________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 xml:space="preserve">посочва се </w:t>
      </w:r>
      <w:proofErr w:type="spellStart"/>
      <w:r w:rsidRPr="00910FE8">
        <w:rPr>
          <w:rFonts w:eastAsia="Times New Roman"/>
          <w:szCs w:val="24"/>
        </w:rPr>
        <w:t>цифром</w:t>
      </w:r>
      <w:proofErr w:type="spellEnd"/>
      <w:r w:rsidRPr="00910FE8">
        <w:rPr>
          <w:rFonts w:eastAsia="Times New Roman"/>
          <w:szCs w:val="24"/>
        </w:rPr>
        <w:t xml:space="preserve"> и словом стойността в лева без ДДС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Посочената цена включва всички разходи по изпълнение на предмета на поръчката.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  <w:r w:rsidRPr="00910FE8">
        <w:rPr>
          <w:rFonts w:eastAsia="Times New Roman"/>
          <w:szCs w:val="24"/>
        </w:rPr>
        <w:t>Цената е формирана по следния начин: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6"/>
        <w:gridCol w:w="2502"/>
        <w:gridCol w:w="2153"/>
        <w:gridCol w:w="1048"/>
      </w:tblGrid>
      <w:tr w:rsidR="00910FE8" w:rsidRPr="00910FE8" w:rsidTr="00B41569">
        <w:trPr>
          <w:trHeight w:val="960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Дейност  </w:t>
            </w:r>
          </w:p>
        </w:tc>
        <w:tc>
          <w:tcPr>
            <w:tcW w:w="1177" w:type="pct"/>
            <w:shd w:val="clear" w:color="auto" w:fill="auto"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Единична цена в лева без ДДС</w:t>
            </w:r>
          </w:p>
        </w:tc>
        <w:tc>
          <w:tcPr>
            <w:tcW w:w="1013" w:type="pct"/>
            <w:shd w:val="clear" w:color="auto" w:fill="auto"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Обща цена в лева без ДДС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Обща цена в лева с ДДС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Логистика на Национална конференция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Нощувка на до 50 участника 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Наем зала и техника за озвучаване за 2 дни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Осигуряване на 4 кафе паузи х 100 човека 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lastRenderedPageBreak/>
              <w:t xml:space="preserve">Осигуряване на 1 вечеря х 100 човека 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Осигуряване на 2 обяд х 100 човека 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Общо логистика: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630"/>
        </w:trPr>
        <w:tc>
          <w:tcPr>
            <w:tcW w:w="231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Папка</w:t>
            </w: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 - формат А4; цветност 4+4; хартия: картон; щанцоване с готова </w:t>
            </w:r>
            <w:proofErr w:type="spellStart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щанца</w:t>
            </w:r>
            <w:proofErr w:type="spellEnd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, лепене; </w:t>
            </w:r>
            <w:proofErr w:type="spellStart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сгъвки</w:t>
            </w:r>
            <w:proofErr w:type="spellEnd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 - </w:t>
            </w: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150 бр.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630"/>
        </w:trPr>
        <w:tc>
          <w:tcPr>
            <w:tcW w:w="231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bg-BG"/>
              </w:rPr>
            </w:pPr>
            <w:proofErr w:type="spellStart"/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Флаш-памети</w:t>
            </w:r>
            <w:proofErr w:type="spellEnd"/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 xml:space="preserve"> -  минимум 512 МВ </w:t>
            </w: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с визуализация на Проекта - </w:t>
            </w: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150 бр.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1260"/>
        </w:trPr>
        <w:tc>
          <w:tcPr>
            <w:tcW w:w="231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 xml:space="preserve">Тефтери – </w:t>
            </w: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с твърди корици; формат А5; пълноцветен печат за корицата; визуализация на кориците и на всяка страница; скрепване на тялото към корицата със спирала; корица от картон 135 гр./кв.м. хром мат; страници: 70 гр./кв.м. офсет.- </w:t>
            </w: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150 бр.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630"/>
        </w:trPr>
        <w:tc>
          <w:tcPr>
            <w:tcW w:w="231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jc w:val="both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 xml:space="preserve">Химикал </w:t>
            </w: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–  Метален корпус; метален </w:t>
            </w:r>
            <w:proofErr w:type="spellStart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клипс</w:t>
            </w:r>
            <w:proofErr w:type="spellEnd"/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; цвят на мастилото: син; с прибиращ се писец- </w:t>
            </w: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150 бр.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465"/>
        </w:trPr>
        <w:tc>
          <w:tcPr>
            <w:tcW w:w="2317" w:type="pct"/>
            <w:shd w:val="clear" w:color="auto" w:fill="auto"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Молив –</w:t>
            </w: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 xml:space="preserve"> с прибиращ се писец - </w:t>
            </w: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150 бр.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2317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 xml:space="preserve">Общо осигуряване на информационни материали  </w:t>
            </w:r>
          </w:p>
        </w:tc>
        <w:tc>
          <w:tcPr>
            <w:tcW w:w="1177" w:type="pct"/>
            <w:shd w:val="clear" w:color="auto" w:fill="auto"/>
            <w:noWrap/>
            <w:vAlign w:val="center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1013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color w:val="000000"/>
                <w:szCs w:val="24"/>
                <w:lang w:eastAsia="bg-BG"/>
              </w:rPr>
              <w:t> </w:t>
            </w:r>
          </w:p>
        </w:tc>
      </w:tr>
      <w:tr w:rsidR="00910FE8" w:rsidRPr="00910FE8" w:rsidTr="00B41569">
        <w:trPr>
          <w:trHeight w:val="375"/>
        </w:trPr>
        <w:tc>
          <w:tcPr>
            <w:tcW w:w="4506" w:type="pct"/>
            <w:gridSpan w:val="3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jc w:val="right"/>
              <w:rPr>
                <w:rFonts w:eastAsia="Times New Roman"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ОБЩО</w:t>
            </w:r>
          </w:p>
        </w:tc>
        <w:tc>
          <w:tcPr>
            <w:tcW w:w="494" w:type="pct"/>
            <w:shd w:val="clear" w:color="auto" w:fill="auto"/>
            <w:noWrap/>
            <w:vAlign w:val="bottom"/>
            <w:hideMark/>
          </w:tcPr>
          <w:p w:rsidR="00910FE8" w:rsidRPr="00910FE8" w:rsidRDefault="00910FE8" w:rsidP="00910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</w:pPr>
            <w:r w:rsidRPr="00910FE8">
              <w:rPr>
                <w:rFonts w:eastAsia="Times New Roman"/>
                <w:b/>
                <w:bCs/>
                <w:color w:val="000000"/>
                <w:szCs w:val="24"/>
                <w:lang w:eastAsia="bg-BG"/>
              </w:rPr>
              <w:t> </w:t>
            </w:r>
          </w:p>
        </w:tc>
      </w:tr>
    </w:tbl>
    <w:p w:rsidR="00910FE8" w:rsidRPr="00910FE8" w:rsidRDefault="00910FE8" w:rsidP="00910FE8">
      <w:pPr>
        <w:tabs>
          <w:tab w:val="left" w:pos="0"/>
        </w:tabs>
        <w:spacing w:after="0" w:line="240" w:lineRule="auto"/>
        <w:jc w:val="both"/>
        <w:rPr>
          <w:rFonts w:eastAsia="MS ??"/>
          <w:i/>
          <w:szCs w:val="20"/>
          <w:lang w:eastAsia="bg-BG"/>
        </w:rPr>
      </w:pPr>
      <w:r w:rsidRPr="00910FE8">
        <w:rPr>
          <w:rFonts w:eastAsia="MS ??"/>
          <w:i/>
          <w:szCs w:val="20"/>
          <w:lang w:eastAsia="bg-BG"/>
        </w:rPr>
        <w:t>*** Забележка:</w:t>
      </w:r>
    </w:p>
    <w:p w:rsidR="00910FE8" w:rsidRPr="00910FE8" w:rsidRDefault="00910FE8" w:rsidP="00910FE8">
      <w:pPr>
        <w:tabs>
          <w:tab w:val="left" w:pos="0"/>
        </w:tabs>
        <w:spacing w:after="0" w:line="240" w:lineRule="auto"/>
        <w:jc w:val="both"/>
        <w:rPr>
          <w:rFonts w:eastAsia="MS ??"/>
          <w:i/>
          <w:szCs w:val="20"/>
          <w:lang w:eastAsia="bg-BG"/>
        </w:rPr>
      </w:pPr>
      <w:r w:rsidRPr="00910FE8">
        <w:rPr>
          <w:rFonts w:eastAsia="MS ??"/>
          <w:i/>
          <w:szCs w:val="20"/>
          <w:lang w:eastAsia="bg-BG"/>
        </w:rPr>
        <w:t>Предложените цени не могат да надвишават единичните и общите прогнозни стойности, обявени от Възложителя в Техническата спецификация. Оферта, в която предложените цени надвишават единичните и общите прогнозни стойности, обявени от възложителя, се отстранява от участие.</w:t>
      </w:r>
    </w:p>
    <w:p w:rsidR="00910FE8" w:rsidRPr="00910FE8" w:rsidRDefault="00910FE8" w:rsidP="00910FE8">
      <w:pPr>
        <w:tabs>
          <w:tab w:val="left" w:pos="0"/>
        </w:tabs>
        <w:spacing w:after="0" w:line="240" w:lineRule="auto"/>
        <w:jc w:val="both"/>
        <w:rPr>
          <w:rFonts w:eastAsia="MS ??"/>
          <w:szCs w:val="20"/>
          <w:lang w:eastAsia="bg-BG"/>
        </w:rPr>
      </w:pPr>
      <w:r w:rsidRPr="00910FE8">
        <w:rPr>
          <w:rFonts w:eastAsia="MS ??"/>
          <w:b/>
          <w:szCs w:val="20"/>
          <w:lang w:eastAsia="bg-BG"/>
        </w:rPr>
        <w:t>В случай на несъответствие</w:t>
      </w:r>
      <w:r w:rsidRPr="00910FE8">
        <w:rPr>
          <w:rFonts w:eastAsia="MS ??"/>
          <w:szCs w:val="20"/>
          <w:lang w:eastAsia="bg-BG"/>
        </w:rPr>
        <w:t xml:space="preserve"> между цената изписана </w:t>
      </w:r>
      <w:proofErr w:type="spellStart"/>
      <w:r w:rsidRPr="00910FE8">
        <w:rPr>
          <w:rFonts w:eastAsia="MS ??"/>
          <w:szCs w:val="20"/>
          <w:lang w:eastAsia="bg-BG"/>
        </w:rPr>
        <w:t>цифром</w:t>
      </w:r>
      <w:proofErr w:type="spellEnd"/>
      <w:r w:rsidRPr="00910FE8">
        <w:rPr>
          <w:rFonts w:eastAsia="MS ??"/>
          <w:szCs w:val="20"/>
          <w:lang w:eastAsia="bg-BG"/>
        </w:rPr>
        <w:t xml:space="preserve"> и словом се приема за вярна посочената словом цена.</w:t>
      </w:r>
    </w:p>
    <w:p w:rsidR="00910FE8" w:rsidRPr="00910FE8" w:rsidRDefault="00910FE8" w:rsidP="00910FE8">
      <w:pPr>
        <w:tabs>
          <w:tab w:val="left" w:pos="0"/>
        </w:tabs>
        <w:spacing w:after="0" w:line="240" w:lineRule="auto"/>
        <w:jc w:val="both"/>
        <w:rPr>
          <w:rFonts w:eastAsia="MS ??"/>
          <w:szCs w:val="20"/>
          <w:lang w:eastAsia="bg-BG"/>
        </w:rPr>
      </w:pPr>
      <w:r w:rsidRPr="00910FE8">
        <w:rPr>
          <w:rFonts w:eastAsia="MS ??"/>
          <w:szCs w:val="20"/>
          <w:lang w:eastAsia="bg-BG"/>
        </w:rPr>
        <w:tab/>
        <w:t xml:space="preserve">Приемаме да се считаме обвързани от задълженията и условията, поети с офертата ни до изтичане на ______ календарни дни (не по – малко от </w:t>
      </w:r>
      <w:r w:rsidRPr="00910FE8">
        <w:rPr>
          <w:rFonts w:eastAsia="MS ??"/>
          <w:b/>
          <w:szCs w:val="20"/>
          <w:lang w:eastAsia="bg-BG"/>
        </w:rPr>
        <w:t xml:space="preserve">90 </w:t>
      </w:r>
      <w:r w:rsidRPr="00910FE8">
        <w:rPr>
          <w:rFonts w:eastAsia="MS ??"/>
          <w:szCs w:val="20"/>
          <w:lang w:eastAsia="bg-BG"/>
        </w:rPr>
        <w:t>календарни дни, включително) от крайния срок за получаване на офертите.</w:t>
      </w:r>
    </w:p>
    <w:p w:rsidR="00910FE8" w:rsidRPr="00910FE8" w:rsidRDefault="00910FE8" w:rsidP="00910FE8">
      <w:pPr>
        <w:tabs>
          <w:tab w:val="left" w:pos="0"/>
          <w:tab w:val="left" w:pos="2227"/>
        </w:tabs>
        <w:spacing w:after="0" w:line="240" w:lineRule="auto"/>
        <w:jc w:val="both"/>
        <w:rPr>
          <w:rFonts w:eastAsia="MS ??"/>
          <w:szCs w:val="20"/>
          <w:lang w:eastAsia="bg-BG"/>
        </w:rPr>
      </w:pPr>
      <w:r w:rsidRPr="00910FE8">
        <w:rPr>
          <w:rFonts w:eastAsia="MS ??"/>
          <w:szCs w:val="20"/>
          <w:lang w:eastAsia="bg-BG"/>
        </w:rPr>
        <w:tab/>
      </w:r>
    </w:p>
    <w:p w:rsidR="00910FE8" w:rsidRPr="00910FE8" w:rsidRDefault="00910FE8" w:rsidP="00910FE8">
      <w:pPr>
        <w:spacing w:after="0" w:line="240" w:lineRule="auto"/>
        <w:jc w:val="both"/>
        <w:rPr>
          <w:rFonts w:eastAsia="MS ??"/>
          <w:szCs w:val="20"/>
          <w:lang w:eastAsia="bg-BG"/>
        </w:rPr>
      </w:pPr>
      <w:r w:rsidRPr="00910FE8">
        <w:rPr>
          <w:rFonts w:eastAsia="MS ??"/>
          <w:szCs w:val="20"/>
          <w:lang w:eastAsia="bg-BG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910FE8" w:rsidRPr="00910FE8" w:rsidRDefault="00910FE8" w:rsidP="00910FE8">
      <w:pPr>
        <w:spacing w:after="0" w:line="240" w:lineRule="auto"/>
        <w:rPr>
          <w:rFonts w:eastAsia="SimSun"/>
          <w:b/>
          <w:caps/>
          <w:szCs w:val="24"/>
          <w:lang w:eastAsia="zh-CN"/>
        </w:rPr>
      </w:pPr>
    </w:p>
    <w:p w:rsidR="00910FE8" w:rsidRPr="00910FE8" w:rsidRDefault="00910FE8" w:rsidP="00910FE8">
      <w:pPr>
        <w:spacing w:after="0" w:line="240" w:lineRule="auto"/>
        <w:jc w:val="both"/>
        <w:rPr>
          <w:rFonts w:eastAsia="Batang"/>
          <w:color w:val="000000"/>
          <w:szCs w:val="20"/>
          <w:u w:val="single"/>
          <w:lang w:eastAsia="bg-BG"/>
        </w:rPr>
      </w:pPr>
      <w:r w:rsidRPr="00910FE8">
        <w:rPr>
          <w:rFonts w:eastAsia="Times New Roman"/>
          <w:b/>
          <w:szCs w:val="24"/>
          <w:lang w:eastAsia="bg-BG"/>
        </w:rPr>
        <w:t xml:space="preserve">Забележка: </w:t>
      </w:r>
    </w:p>
    <w:p w:rsidR="00910FE8" w:rsidRPr="00910FE8" w:rsidRDefault="00910FE8" w:rsidP="00910FE8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b/>
          <w:caps/>
          <w:szCs w:val="24"/>
          <w:lang w:eastAsia="zh-CN"/>
        </w:rPr>
      </w:pPr>
      <w:r w:rsidRPr="00910FE8">
        <w:rPr>
          <w:color w:val="000000"/>
          <w:szCs w:val="24"/>
          <w:lang w:eastAsia="bg-BG"/>
        </w:rPr>
        <w:t xml:space="preserve">Предложените цени са в лева и са без включен ДДС, като са определени при пълно съответствие с условията от документацията към публичната покана за провеждане на обществената поръчка. Посочените цени включват всички разходи по изпълнение на предмета на поръчката, определени от възложителя в пълното описание на обекта на поръчката. </w:t>
      </w:r>
    </w:p>
    <w:p w:rsidR="00910FE8" w:rsidRPr="00910FE8" w:rsidRDefault="00910FE8" w:rsidP="00910FE8">
      <w:pPr>
        <w:spacing w:after="0" w:line="240" w:lineRule="auto"/>
        <w:jc w:val="both"/>
        <w:rPr>
          <w:rFonts w:eastAsia="Verdana"/>
          <w:i/>
          <w:szCs w:val="24"/>
          <w:lang w:eastAsia="bg-BG"/>
        </w:rPr>
      </w:pPr>
    </w:p>
    <w:p w:rsidR="00910FE8" w:rsidRPr="00910FE8" w:rsidRDefault="00910FE8" w:rsidP="00910FE8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color w:val="000000"/>
          <w:szCs w:val="24"/>
          <w:u w:val="single"/>
          <w:lang w:eastAsia="bg-BG"/>
        </w:rPr>
      </w:pPr>
      <w:r w:rsidRPr="00910FE8">
        <w:rPr>
          <w:rFonts w:eastAsia="Verdana-Bold"/>
          <w:b/>
          <w:bCs/>
          <w:color w:val="000000"/>
          <w:szCs w:val="24"/>
          <w:u w:val="single"/>
          <w:lang w:eastAsia="bg-BG"/>
        </w:rPr>
        <w:t>Правно обвързващ подпис:</w:t>
      </w:r>
    </w:p>
    <w:p w:rsidR="00910FE8" w:rsidRPr="00910FE8" w:rsidRDefault="00910FE8" w:rsidP="00910FE8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eastAsia="Verdana-Bold"/>
          <w:b/>
          <w:bCs/>
          <w:color w:val="000000"/>
          <w:szCs w:val="24"/>
          <w:u w:val="single"/>
          <w:lang w:eastAsia="bg-BG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910FE8" w:rsidRPr="00910FE8" w:rsidTr="00C45D6F"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________/ _________ / ______</w:t>
            </w:r>
          </w:p>
        </w:tc>
      </w:tr>
      <w:tr w:rsidR="00910FE8" w:rsidRPr="00910FE8" w:rsidTr="00C45D6F"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Име и фамилия</w:t>
            </w:r>
          </w:p>
        </w:tc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__________________________</w:t>
            </w:r>
          </w:p>
        </w:tc>
      </w:tr>
      <w:tr w:rsidR="00910FE8" w:rsidRPr="00910FE8" w:rsidTr="00C45D6F"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Подпис на упълномощеното лице</w:t>
            </w:r>
          </w:p>
        </w:tc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__________________________</w:t>
            </w:r>
          </w:p>
        </w:tc>
      </w:tr>
      <w:tr w:rsidR="00910FE8" w:rsidRPr="00910FE8" w:rsidTr="00C45D6F"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 xml:space="preserve">Длъжност </w:t>
            </w:r>
          </w:p>
        </w:tc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__________________________</w:t>
            </w:r>
          </w:p>
        </w:tc>
      </w:tr>
      <w:tr w:rsidR="00910FE8" w:rsidRPr="00910FE8" w:rsidTr="00C45D6F"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910FE8" w:rsidRPr="00910FE8" w:rsidRDefault="00910FE8" w:rsidP="00910FE8">
            <w:pPr>
              <w:widowControl w:val="0"/>
              <w:tabs>
                <w:tab w:val="left" w:pos="9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Verdana-Bold"/>
                <w:color w:val="000000"/>
                <w:szCs w:val="24"/>
                <w:u w:val="single"/>
                <w:lang w:eastAsia="bg-BG"/>
              </w:rPr>
            </w:pPr>
            <w:r w:rsidRPr="00910FE8">
              <w:rPr>
                <w:rFonts w:eastAsia="Verdana-Bold"/>
                <w:color w:val="000000"/>
                <w:szCs w:val="24"/>
                <w:u w:val="single"/>
                <w:lang w:eastAsia="bg-BG"/>
              </w:rPr>
              <w:t>__________________________</w:t>
            </w:r>
          </w:p>
        </w:tc>
      </w:tr>
    </w:tbl>
    <w:p w:rsidR="00910FE8" w:rsidRPr="00910FE8" w:rsidRDefault="00910FE8" w:rsidP="00910FE8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bg-BG"/>
        </w:rPr>
      </w:pPr>
      <w:r w:rsidRPr="00910FE8">
        <w:rPr>
          <w:rFonts w:eastAsia="Times New Roman"/>
          <w:color w:val="000000"/>
          <w:szCs w:val="24"/>
          <w:lang w:eastAsia="bg-BG"/>
        </w:rPr>
        <w:tab/>
      </w:r>
      <w:r w:rsidRPr="00910FE8">
        <w:rPr>
          <w:rFonts w:eastAsia="Times New Roman"/>
          <w:color w:val="000000"/>
          <w:szCs w:val="24"/>
          <w:lang w:eastAsia="bg-BG"/>
        </w:rPr>
        <w:tab/>
      </w:r>
      <w:r w:rsidRPr="00910FE8">
        <w:rPr>
          <w:rFonts w:eastAsia="Times New Roman"/>
          <w:color w:val="000000"/>
          <w:szCs w:val="24"/>
          <w:lang w:eastAsia="bg-BG"/>
        </w:rPr>
        <w:tab/>
      </w:r>
      <w:r w:rsidRPr="00910FE8">
        <w:rPr>
          <w:rFonts w:eastAsia="Times New Roman"/>
          <w:color w:val="000000"/>
          <w:szCs w:val="24"/>
          <w:lang w:eastAsia="bg-BG"/>
        </w:rPr>
        <w:tab/>
      </w:r>
      <w:r w:rsidRPr="00910FE8">
        <w:rPr>
          <w:rFonts w:eastAsia="Times New Roman"/>
          <w:color w:val="000000"/>
          <w:szCs w:val="24"/>
          <w:lang w:eastAsia="bg-BG"/>
        </w:rPr>
        <w:tab/>
      </w:r>
      <w:r w:rsidRPr="00910FE8">
        <w:rPr>
          <w:rFonts w:eastAsia="Times New Roman"/>
          <w:color w:val="000000"/>
          <w:szCs w:val="24"/>
          <w:lang w:eastAsia="bg-BG"/>
        </w:rPr>
        <w:tab/>
      </w:r>
    </w:p>
    <w:p w:rsidR="00910FE8" w:rsidRPr="00910FE8" w:rsidRDefault="00910FE8" w:rsidP="00910FE8">
      <w:pPr>
        <w:widowControl w:val="0"/>
        <w:tabs>
          <w:tab w:val="left" w:pos="965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szCs w:val="24"/>
          <w:lang w:eastAsia="bg-BG"/>
        </w:rPr>
      </w:pPr>
    </w:p>
    <w:p w:rsidR="007B7CBD" w:rsidRPr="00910FE8" w:rsidRDefault="007B7CBD" w:rsidP="00910FE8"/>
    <w:sectPr w:rsidR="007B7CBD" w:rsidRPr="00910FE8" w:rsidSect="004108A6">
      <w:headerReference w:type="default" r:id="rId8"/>
      <w:footerReference w:type="default" r:id="rId9"/>
      <w:pgSz w:w="11906" w:h="16838"/>
      <w:pgMar w:top="1940" w:right="566" w:bottom="1417" w:left="85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73" w:rsidRDefault="00F21273" w:rsidP="007B7CBD">
      <w:pPr>
        <w:spacing w:after="0" w:line="240" w:lineRule="auto"/>
      </w:pPr>
      <w:r>
        <w:separator/>
      </w:r>
    </w:p>
  </w:endnote>
  <w:endnote w:type="continuationSeparator" w:id="0">
    <w:p w:rsidR="00F21273" w:rsidRDefault="00F21273" w:rsidP="007B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CBD" w:rsidRPr="00FC118E" w:rsidRDefault="00F21273" w:rsidP="00CE13FD">
    <w:pPr>
      <w:pBdr>
        <w:top w:val="single" w:sz="4" w:space="0" w:color="auto"/>
      </w:pBdr>
      <w:spacing w:after="0" w:line="240" w:lineRule="auto"/>
      <w:jc w:val="center"/>
      <w:rPr>
        <w:color w:val="333333"/>
        <w:sz w:val="20"/>
        <w:szCs w:val="20"/>
      </w:rPr>
    </w:pPr>
    <w:hyperlink r:id="rId1" w:history="1">
      <w:r w:rsidR="007B7CBD" w:rsidRPr="00FC118E">
        <w:rPr>
          <w:rStyle w:val="Hyperlink"/>
          <w:color w:val="333333"/>
          <w:sz w:val="20"/>
          <w:szCs w:val="20"/>
          <w:lang w:val="en-US"/>
        </w:rPr>
        <w:t>www</w:t>
      </w:r>
      <w:r w:rsidR="007B7CBD" w:rsidRPr="00FC118E">
        <w:rPr>
          <w:rStyle w:val="Hyperlink"/>
          <w:color w:val="333333"/>
          <w:sz w:val="20"/>
          <w:szCs w:val="20"/>
          <w:lang w:val="ru-RU"/>
        </w:rPr>
        <w:t>.</w:t>
      </w:r>
      <w:proofErr w:type="spellStart"/>
      <w:r w:rsidR="007B7CBD" w:rsidRPr="00FC118E">
        <w:rPr>
          <w:rStyle w:val="Hyperlink"/>
          <w:color w:val="333333"/>
          <w:sz w:val="20"/>
          <w:szCs w:val="20"/>
          <w:lang w:val="en-US"/>
        </w:rPr>
        <w:t>eufunds</w:t>
      </w:r>
      <w:proofErr w:type="spellEnd"/>
      <w:r w:rsidR="007B7CBD" w:rsidRPr="00FC118E">
        <w:rPr>
          <w:rStyle w:val="Hyperlink"/>
          <w:color w:val="333333"/>
          <w:sz w:val="20"/>
          <w:szCs w:val="20"/>
          <w:lang w:val="ru-RU"/>
        </w:rPr>
        <w:t>.</w:t>
      </w:r>
      <w:proofErr w:type="spellStart"/>
      <w:r w:rsidR="007B7CBD" w:rsidRPr="00FC118E">
        <w:rPr>
          <w:rStyle w:val="Hyperlink"/>
          <w:color w:val="333333"/>
          <w:sz w:val="20"/>
          <w:szCs w:val="20"/>
          <w:lang w:val="en-US"/>
        </w:rPr>
        <w:t>bg</w:t>
      </w:r>
      <w:proofErr w:type="spellEnd"/>
    </w:hyperlink>
  </w:p>
  <w:p w:rsidR="007B7CBD" w:rsidRPr="00F97918" w:rsidRDefault="007B7CBD" w:rsidP="00CE13FD">
    <w:pPr>
      <w:pBdr>
        <w:top w:val="single" w:sz="4" w:space="0" w:color="auto"/>
      </w:pBdr>
      <w:spacing w:after="0" w:line="240" w:lineRule="auto"/>
      <w:jc w:val="center"/>
      <w:rPr>
        <w:sz w:val="20"/>
        <w:szCs w:val="20"/>
        <w:lang w:val="ru-RU"/>
      </w:rPr>
    </w:pPr>
    <w:r w:rsidRPr="00A9266B">
      <w:rPr>
        <w:sz w:val="20"/>
        <w:szCs w:val="20"/>
        <w:lang w:val="ru-RU"/>
      </w:rPr>
      <w:t>Проект</w:t>
    </w:r>
    <w:r w:rsidRPr="00640376">
      <w:rPr>
        <w:sz w:val="20"/>
        <w:szCs w:val="20"/>
        <w:lang w:val="ru-RU"/>
      </w:rPr>
      <w:t xml:space="preserve"> </w:t>
    </w:r>
    <w:r w:rsidRPr="007B7CBD">
      <w:rPr>
        <w:sz w:val="20"/>
        <w:szCs w:val="20"/>
        <w:lang w:val="ru-RU"/>
      </w:rPr>
      <w:t>№</w:t>
    </w:r>
    <w:r w:rsidRPr="00640376">
      <w:rPr>
        <w:sz w:val="20"/>
        <w:szCs w:val="20"/>
        <w:lang w:val="ru-RU"/>
      </w:rPr>
      <w:t xml:space="preserve"> </w:t>
    </w:r>
    <w:r w:rsidRPr="00A9266B">
      <w:rPr>
        <w:sz w:val="20"/>
        <w:szCs w:val="20"/>
        <w:lang w:val="ru-RU"/>
      </w:rPr>
      <w:t xml:space="preserve"> </w:t>
    </w:r>
    <w:r w:rsidRPr="007B7CBD">
      <w:rPr>
        <w:sz w:val="20"/>
        <w:szCs w:val="20"/>
        <w:lang w:val="ru-RU"/>
      </w:rPr>
      <w:t>0130-МЗ-3.2</w:t>
    </w:r>
    <w:r w:rsidRPr="00F97918">
      <w:rPr>
        <w:sz w:val="20"/>
        <w:szCs w:val="20"/>
        <w:lang w:val="ru-RU"/>
      </w:rPr>
      <w:t xml:space="preserve">  </w:t>
    </w:r>
    <w:r w:rsidRPr="00AB30BB">
      <w:rPr>
        <w:sz w:val="20"/>
        <w:szCs w:val="20"/>
        <w:lang w:val="ru-RU"/>
      </w:rPr>
      <w:t>„</w:t>
    </w:r>
    <w:r w:rsidRPr="007B7CBD">
      <w:rPr>
        <w:sz w:val="20"/>
        <w:szCs w:val="20"/>
        <w:lang w:val="ru-RU"/>
      </w:rPr>
      <w:t>СМАРТ Решения (Статистически Модели за Аргументирани Рационални и</w:t>
    </w:r>
    <w:proofErr w:type="gramStart"/>
    <w:r w:rsidRPr="007B7CBD">
      <w:rPr>
        <w:sz w:val="20"/>
        <w:szCs w:val="20"/>
        <w:lang w:val="ru-RU"/>
      </w:rPr>
      <w:t xml:space="preserve"> Т</w:t>
    </w:r>
    <w:proofErr w:type="gramEnd"/>
    <w:r w:rsidRPr="007B7CBD">
      <w:rPr>
        <w:sz w:val="20"/>
        <w:szCs w:val="20"/>
        <w:lang w:val="ru-RU"/>
      </w:rPr>
      <w:t>актически решения)</w:t>
    </w:r>
    <w:r w:rsidRPr="00AB30BB">
      <w:rPr>
        <w:sz w:val="20"/>
        <w:szCs w:val="20"/>
        <w:lang w:val="ru-RU"/>
      </w:rPr>
      <w:t>“</w:t>
    </w:r>
  </w:p>
  <w:p w:rsidR="007B7CBD" w:rsidRPr="007B7CBD" w:rsidRDefault="007B7CBD" w:rsidP="00CE13FD">
    <w:pPr>
      <w:pBdr>
        <w:top w:val="single" w:sz="4" w:space="0" w:color="auto"/>
      </w:pBdr>
      <w:spacing w:after="0" w:line="240" w:lineRule="auto"/>
      <w:jc w:val="center"/>
      <w:rPr>
        <w:color w:val="333333"/>
        <w:sz w:val="20"/>
        <w:szCs w:val="20"/>
      </w:rPr>
    </w:pPr>
    <w:r w:rsidRPr="00FC118E">
      <w:rPr>
        <w:sz w:val="20"/>
        <w:szCs w:val="20"/>
      </w:rPr>
      <w:t xml:space="preserve">Договор </w:t>
    </w:r>
    <w:r>
      <w:rPr>
        <w:sz w:val="20"/>
        <w:szCs w:val="20"/>
      </w:rPr>
      <w:t xml:space="preserve">№ </w:t>
    </w:r>
    <w:r w:rsidRPr="007B7CBD">
      <w:rPr>
        <w:sz w:val="20"/>
        <w:szCs w:val="20"/>
        <w:lang w:val="en-US"/>
      </w:rPr>
      <w:t>BG161PO002-3.2.01-0007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73" w:rsidRDefault="00F21273" w:rsidP="007B7CBD">
      <w:pPr>
        <w:spacing w:after="0" w:line="240" w:lineRule="auto"/>
      </w:pPr>
      <w:r>
        <w:separator/>
      </w:r>
    </w:p>
  </w:footnote>
  <w:footnote w:type="continuationSeparator" w:id="0">
    <w:p w:rsidR="00F21273" w:rsidRDefault="00F21273" w:rsidP="007B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ADB" w:rsidRPr="00DE1ADB" w:rsidRDefault="00910FE8" w:rsidP="00DE1ADB">
    <w:pPr>
      <w:rPr>
        <w:lang w:val="en-US"/>
      </w:rPr>
    </w:pPr>
    <w:r>
      <w:rPr>
        <w:noProof/>
        <w:lang w:eastAsia="bg-BG"/>
      </w:rPr>
      <w:drawing>
        <wp:inline distT="0" distB="0" distL="0" distR="0" wp14:anchorId="111B8C81" wp14:editId="68E9D906">
          <wp:extent cx="1485900" cy="552450"/>
          <wp:effectExtent l="0" t="0" r="0" b="0"/>
          <wp:docPr id="1" name="Picture 1" descr="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84E">
      <w:t xml:space="preserve">    </w:t>
    </w:r>
    <w:r w:rsidR="00CA184E">
      <w:tab/>
    </w:r>
    <w:r w:rsidR="00CA184E">
      <w:rPr>
        <w:lang w:val="en-US"/>
      </w:rPr>
      <w:t xml:space="preserve">   </w:t>
    </w:r>
    <w:r w:rsidR="00CA184E">
      <w:rPr>
        <w:lang w:val="en-US"/>
      </w:rPr>
      <w:tab/>
    </w:r>
    <w:r>
      <w:rPr>
        <w:noProof/>
        <w:lang w:eastAsia="bg-BG"/>
      </w:rPr>
      <w:drawing>
        <wp:inline distT="0" distB="0" distL="0" distR="0" wp14:anchorId="6E37A2CE" wp14:editId="676D9AB1">
          <wp:extent cx="1371600" cy="819150"/>
          <wp:effectExtent l="0" t="0" r="0" b="0"/>
          <wp:docPr id="2" name="Picture 2" descr="N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SR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184E">
      <w:t xml:space="preserve">  </w:t>
    </w:r>
    <w:r>
      <w:rPr>
        <w:noProof/>
        <w:lang w:eastAsia="bg-BG"/>
      </w:rPr>
      <w:drawing>
        <wp:inline distT="0" distB="0" distL="0" distR="0" wp14:anchorId="72D45AD4" wp14:editId="57AD71BF">
          <wp:extent cx="2400300" cy="495300"/>
          <wp:effectExtent l="0" t="0" r="0" b="0"/>
          <wp:docPr id="3" name="Picture 3" descr="OPTAlogo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TAlogo_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E1ADB" w:rsidRPr="00DE1ADB" w:rsidRDefault="00DE1ADB" w:rsidP="00DE1ADB">
    <w:pPr>
      <w:snapToGrid w:val="0"/>
      <w:spacing w:after="0" w:line="240" w:lineRule="auto"/>
      <w:jc w:val="center"/>
      <w:rPr>
        <w:rFonts w:eastAsia="Times New Roman"/>
        <w:b/>
        <w:color w:val="000000"/>
        <w:sz w:val="28"/>
        <w:szCs w:val="28"/>
      </w:rPr>
    </w:pPr>
    <w:r w:rsidRPr="00DE1ADB">
      <w:rPr>
        <w:rFonts w:eastAsia="Times New Roman"/>
        <w:b/>
        <w:color w:val="000000"/>
        <w:sz w:val="28"/>
        <w:szCs w:val="28"/>
      </w:rPr>
      <w:t>Р Е П У Б Л И К А  Б Ъ Л Г А Р И Я</w:t>
    </w:r>
  </w:p>
  <w:p w:rsidR="00DE1ADB" w:rsidRPr="00CE13FD" w:rsidRDefault="00DE1ADB" w:rsidP="00CE13FD">
    <w:pPr>
      <w:snapToGrid w:val="0"/>
      <w:spacing w:after="0" w:line="240" w:lineRule="auto"/>
      <w:jc w:val="center"/>
      <w:rPr>
        <w:rFonts w:eastAsia="Times New Roman"/>
        <w:b/>
        <w:color w:val="000000"/>
        <w:szCs w:val="24"/>
      </w:rPr>
    </w:pPr>
    <w:r w:rsidRPr="00DE1ADB">
      <w:rPr>
        <w:rFonts w:eastAsia="Times New Roman"/>
        <w:b/>
        <w:color w:val="000000"/>
        <w:szCs w:val="24"/>
      </w:rPr>
      <w:t>МИНИСТЕРСТВО НА ЗДРАВЕОПАЗВАНЕТО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16F"/>
    <w:multiLevelType w:val="hybridMultilevel"/>
    <w:tmpl w:val="BC489D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97F1F"/>
    <w:multiLevelType w:val="hybridMultilevel"/>
    <w:tmpl w:val="719CE9AC"/>
    <w:lvl w:ilvl="0" w:tplc="0CD0D380">
      <w:numFmt w:val="bullet"/>
      <w:lvlText w:val="-"/>
      <w:lvlJc w:val="left"/>
      <w:pPr>
        <w:ind w:left="3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0F2661DB"/>
    <w:multiLevelType w:val="hybridMultilevel"/>
    <w:tmpl w:val="A3D6B598"/>
    <w:lvl w:ilvl="0" w:tplc="34C24AD8">
      <w:start w:val="1"/>
      <w:numFmt w:val="decimal"/>
      <w:lvlText w:val="%1."/>
      <w:lvlJc w:val="left"/>
      <w:pPr>
        <w:ind w:left="9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3">
    <w:nsid w:val="1AEE421A"/>
    <w:multiLevelType w:val="hybridMultilevel"/>
    <w:tmpl w:val="2D881CF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83C39"/>
    <w:multiLevelType w:val="hybridMultilevel"/>
    <w:tmpl w:val="871A8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8779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45185D01"/>
    <w:multiLevelType w:val="multilevel"/>
    <w:tmpl w:val="789A1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79A2916"/>
    <w:multiLevelType w:val="multilevel"/>
    <w:tmpl w:val="36A4B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8">
    <w:nsid w:val="50B62D4C"/>
    <w:multiLevelType w:val="multilevel"/>
    <w:tmpl w:val="D0281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11B4522"/>
    <w:multiLevelType w:val="multilevel"/>
    <w:tmpl w:val="AA2031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DC5201C"/>
    <w:multiLevelType w:val="hybridMultilevel"/>
    <w:tmpl w:val="EAB4874E"/>
    <w:lvl w:ilvl="0" w:tplc="4FEECD44">
      <w:start w:val="6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5DDE558D"/>
    <w:multiLevelType w:val="multilevel"/>
    <w:tmpl w:val="1ECCC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3690F31"/>
    <w:multiLevelType w:val="hybridMultilevel"/>
    <w:tmpl w:val="76E6FA1C"/>
    <w:lvl w:ilvl="0" w:tplc="9DF0AE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41A18"/>
    <w:multiLevelType w:val="hybridMultilevel"/>
    <w:tmpl w:val="DA5C965C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1A5C29"/>
    <w:multiLevelType w:val="hybridMultilevel"/>
    <w:tmpl w:val="96E08A28"/>
    <w:lvl w:ilvl="0" w:tplc="0CD0D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F50E56"/>
    <w:multiLevelType w:val="hybridMultilevel"/>
    <w:tmpl w:val="8B9A0526"/>
    <w:lvl w:ilvl="0" w:tplc="FCA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053BC8"/>
    <w:multiLevelType w:val="hybridMultilevel"/>
    <w:tmpl w:val="5FA4A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18FA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"/>
  </w:num>
  <w:num w:numId="5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"/>
  </w:num>
  <w:num w:numId="8">
    <w:abstractNumId w:val="10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1"/>
  </w:num>
  <w:num w:numId="14">
    <w:abstractNumId w:val="13"/>
  </w:num>
  <w:num w:numId="15">
    <w:abstractNumId w:val="9"/>
  </w:num>
  <w:num w:numId="16">
    <w:abstractNumId w:val="4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BD"/>
    <w:rsid w:val="0006364F"/>
    <w:rsid w:val="0008336A"/>
    <w:rsid w:val="00091268"/>
    <w:rsid w:val="000D6E2C"/>
    <w:rsid w:val="000E11ED"/>
    <w:rsid w:val="000E414E"/>
    <w:rsid w:val="00106B7D"/>
    <w:rsid w:val="00115FF9"/>
    <w:rsid w:val="00135641"/>
    <w:rsid w:val="001953F3"/>
    <w:rsid w:val="001C003F"/>
    <w:rsid w:val="001F0397"/>
    <w:rsid w:val="00226D57"/>
    <w:rsid w:val="00242C90"/>
    <w:rsid w:val="00246DA1"/>
    <w:rsid w:val="002A43F1"/>
    <w:rsid w:val="002B5F3D"/>
    <w:rsid w:val="002C7B49"/>
    <w:rsid w:val="00303B73"/>
    <w:rsid w:val="00305ABD"/>
    <w:rsid w:val="00327AF5"/>
    <w:rsid w:val="00400922"/>
    <w:rsid w:val="00400DA9"/>
    <w:rsid w:val="004108A6"/>
    <w:rsid w:val="004243FD"/>
    <w:rsid w:val="00446B73"/>
    <w:rsid w:val="004E67B8"/>
    <w:rsid w:val="004F31D5"/>
    <w:rsid w:val="00505C03"/>
    <w:rsid w:val="005709DA"/>
    <w:rsid w:val="005748CC"/>
    <w:rsid w:val="00584277"/>
    <w:rsid w:val="005952CC"/>
    <w:rsid w:val="005C4E4C"/>
    <w:rsid w:val="005E1D89"/>
    <w:rsid w:val="005E6BF7"/>
    <w:rsid w:val="0061071E"/>
    <w:rsid w:val="00611E83"/>
    <w:rsid w:val="0063040A"/>
    <w:rsid w:val="00647192"/>
    <w:rsid w:val="00673582"/>
    <w:rsid w:val="0068282B"/>
    <w:rsid w:val="006D4581"/>
    <w:rsid w:val="006E1D4A"/>
    <w:rsid w:val="006E64DF"/>
    <w:rsid w:val="00785996"/>
    <w:rsid w:val="00792AC2"/>
    <w:rsid w:val="007B7CBD"/>
    <w:rsid w:val="00825A49"/>
    <w:rsid w:val="00834DD0"/>
    <w:rsid w:val="0085375C"/>
    <w:rsid w:val="00855739"/>
    <w:rsid w:val="00866552"/>
    <w:rsid w:val="008C193B"/>
    <w:rsid w:val="008C20F0"/>
    <w:rsid w:val="00910FE8"/>
    <w:rsid w:val="00935F34"/>
    <w:rsid w:val="00957C8A"/>
    <w:rsid w:val="00963978"/>
    <w:rsid w:val="0098328E"/>
    <w:rsid w:val="0098711C"/>
    <w:rsid w:val="009F2F83"/>
    <w:rsid w:val="00A004F6"/>
    <w:rsid w:val="00A05D5B"/>
    <w:rsid w:val="00A40EC4"/>
    <w:rsid w:val="00A51DD1"/>
    <w:rsid w:val="00A77792"/>
    <w:rsid w:val="00A83A4D"/>
    <w:rsid w:val="00AB1C5C"/>
    <w:rsid w:val="00AB4376"/>
    <w:rsid w:val="00AC0A11"/>
    <w:rsid w:val="00B41569"/>
    <w:rsid w:val="00BA06A2"/>
    <w:rsid w:val="00BA1F15"/>
    <w:rsid w:val="00BC4396"/>
    <w:rsid w:val="00BD7186"/>
    <w:rsid w:val="00C34608"/>
    <w:rsid w:val="00C460A5"/>
    <w:rsid w:val="00C639FF"/>
    <w:rsid w:val="00C70B42"/>
    <w:rsid w:val="00C71F77"/>
    <w:rsid w:val="00C84EB0"/>
    <w:rsid w:val="00CA184E"/>
    <w:rsid w:val="00CB3BB6"/>
    <w:rsid w:val="00CC14F0"/>
    <w:rsid w:val="00CD6C36"/>
    <w:rsid w:val="00CD785A"/>
    <w:rsid w:val="00CE13FD"/>
    <w:rsid w:val="00D37F32"/>
    <w:rsid w:val="00D66EA7"/>
    <w:rsid w:val="00DD4980"/>
    <w:rsid w:val="00DE1ADB"/>
    <w:rsid w:val="00E05B1D"/>
    <w:rsid w:val="00E90DA1"/>
    <w:rsid w:val="00E91E1D"/>
    <w:rsid w:val="00E9237B"/>
    <w:rsid w:val="00E93860"/>
    <w:rsid w:val="00EF2393"/>
    <w:rsid w:val="00F13982"/>
    <w:rsid w:val="00F21273"/>
    <w:rsid w:val="00FE07AC"/>
    <w:rsid w:val="00FF0BB8"/>
    <w:rsid w:val="00FF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CB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7CB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7CB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7CBD"/>
    <w:rPr>
      <w:sz w:val="24"/>
      <w:szCs w:val="22"/>
      <w:lang w:eastAsia="en-US"/>
    </w:rPr>
  </w:style>
  <w:style w:type="character" w:styleId="Hyperlink">
    <w:name w:val="Hyperlink"/>
    <w:rsid w:val="007B7CB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D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E64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4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E64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84E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14F0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5FF9"/>
    <w:pPr>
      <w:ind w:left="720"/>
      <w:contextualSpacing/>
    </w:pPr>
    <w:rPr>
      <w:rFonts w:ascii="Calibri" w:hAnsi="Calibr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CBD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B7CBD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B7CBD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B7CBD"/>
    <w:rPr>
      <w:sz w:val="24"/>
      <w:szCs w:val="22"/>
      <w:lang w:eastAsia="en-US"/>
    </w:rPr>
  </w:style>
  <w:style w:type="character" w:styleId="Hyperlink">
    <w:name w:val="Hyperlink"/>
    <w:rsid w:val="007B7CB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6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4DF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E64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4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64DF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4D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6E64DF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84EB0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C14F0"/>
    <w:rPr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5FF9"/>
    <w:pPr>
      <w:ind w:left="720"/>
      <w:contextualSpacing/>
    </w:pPr>
    <w:rPr>
      <w:rFonts w:ascii="Calibri" w:hAnsi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Gospodinov</dc:creator>
  <cp:lastModifiedBy>Ralitsa Kalinova</cp:lastModifiedBy>
  <cp:revision>4</cp:revision>
  <cp:lastPrinted>2015-02-20T10:09:00Z</cp:lastPrinted>
  <dcterms:created xsi:type="dcterms:W3CDTF">2015-02-26T11:49:00Z</dcterms:created>
  <dcterms:modified xsi:type="dcterms:W3CDTF">2015-02-26T15:12:00Z</dcterms:modified>
</cp:coreProperties>
</file>