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657" w:rsidRPr="00D91657" w:rsidRDefault="00D91657" w:rsidP="00D91657">
      <w:pPr>
        <w:pStyle w:val="Heading1"/>
        <w:spacing w:before="100" w:beforeAutospacing="1" w:after="100" w:afterAutospacing="1"/>
        <w:rPr>
          <w:bCs w:val="0"/>
          <w:sz w:val="28"/>
          <w:szCs w:val="28"/>
        </w:rPr>
      </w:pPr>
      <w:r>
        <w:rPr>
          <w:bCs w:val="0"/>
          <w:sz w:val="28"/>
          <w:szCs w:val="28"/>
          <w:lang w:val="en-US"/>
        </w:rPr>
        <w:tab/>
      </w:r>
      <w:r>
        <w:rPr>
          <w:bCs w:val="0"/>
          <w:sz w:val="28"/>
          <w:szCs w:val="28"/>
          <w:lang w:val="en-US"/>
        </w:rPr>
        <w:tab/>
      </w:r>
      <w:r>
        <w:rPr>
          <w:bCs w:val="0"/>
          <w:sz w:val="28"/>
          <w:szCs w:val="28"/>
          <w:lang w:val="en-US"/>
        </w:rPr>
        <w:tab/>
      </w:r>
      <w:r>
        <w:rPr>
          <w:bCs w:val="0"/>
          <w:sz w:val="28"/>
          <w:szCs w:val="28"/>
          <w:lang w:val="en-US"/>
        </w:rPr>
        <w:tab/>
      </w:r>
      <w:r>
        <w:rPr>
          <w:bCs w:val="0"/>
          <w:sz w:val="28"/>
          <w:szCs w:val="28"/>
          <w:lang w:val="en-US"/>
        </w:rPr>
        <w:tab/>
      </w:r>
      <w:r>
        <w:rPr>
          <w:bCs w:val="0"/>
          <w:sz w:val="28"/>
          <w:szCs w:val="28"/>
          <w:lang w:val="en-US"/>
        </w:rPr>
        <w:tab/>
      </w:r>
      <w:r>
        <w:rPr>
          <w:bCs w:val="0"/>
          <w:sz w:val="28"/>
          <w:szCs w:val="28"/>
        </w:rPr>
        <w:t>Приложение 3</w:t>
      </w:r>
    </w:p>
    <w:p w:rsidR="00D91657" w:rsidRDefault="00D91657" w:rsidP="00D91657">
      <w:pPr>
        <w:pStyle w:val="Heading1"/>
        <w:spacing w:before="100" w:beforeAutospacing="1" w:after="100" w:afterAutospacing="1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ТЕХНИЧЕСКИ УСЛОВИЯ И ИЗИСКВАНИЯ </w:t>
      </w:r>
    </w:p>
    <w:p w:rsidR="00D91657" w:rsidRDefault="00D91657" w:rsidP="00D91657"/>
    <w:p w:rsidR="00D91657" w:rsidRDefault="00D91657" w:rsidP="00D91657">
      <w:pPr>
        <w:autoSpaceDE/>
        <w:jc w:val="both"/>
        <w:rPr>
          <w:sz w:val="28"/>
          <w:szCs w:val="28"/>
        </w:rPr>
      </w:pPr>
      <w:r>
        <w:rPr>
          <w:b/>
          <w:sz w:val="28"/>
          <w:szCs w:val="28"/>
        </w:rPr>
        <w:t>1. Срокът на годност</w:t>
      </w:r>
      <w:r>
        <w:rPr>
          <w:sz w:val="28"/>
          <w:szCs w:val="28"/>
        </w:rPr>
        <w:t xml:space="preserve"> на </w:t>
      </w:r>
      <w:r w:rsidR="00EF19D8">
        <w:rPr>
          <w:sz w:val="28"/>
          <w:szCs w:val="28"/>
        </w:rPr>
        <w:t>лекарствения продукт следва да бъде не по-малък от 60 (шестдесет) на сто от обявения от производителя към датата на всяка доставка.</w:t>
      </w:r>
    </w:p>
    <w:p w:rsidR="00D91657" w:rsidRDefault="00D91657" w:rsidP="00D91657">
      <w:pPr>
        <w:autoSpaceDE/>
        <w:jc w:val="both"/>
        <w:rPr>
          <w:sz w:val="28"/>
          <w:szCs w:val="28"/>
        </w:rPr>
      </w:pPr>
      <w:r>
        <w:rPr>
          <w:b/>
          <w:sz w:val="28"/>
          <w:szCs w:val="28"/>
        </w:rPr>
        <w:t>2. В случай на доставка</w:t>
      </w:r>
      <w:r>
        <w:rPr>
          <w:sz w:val="28"/>
          <w:szCs w:val="28"/>
        </w:rPr>
        <w:t xml:space="preserve"> на </w:t>
      </w:r>
      <w:r w:rsidR="0045635D">
        <w:rPr>
          <w:sz w:val="28"/>
          <w:szCs w:val="28"/>
        </w:rPr>
        <w:t xml:space="preserve">лекарствения продукт с по-кратък от договорения срок на годност, </w:t>
      </w:r>
      <w:r>
        <w:rPr>
          <w:sz w:val="28"/>
          <w:szCs w:val="28"/>
        </w:rPr>
        <w:t>се дължи неустойка в размер както следва:</w:t>
      </w:r>
    </w:p>
    <w:p w:rsidR="00D91657" w:rsidRDefault="0045635D" w:rsidP="00D91657">
      <w:pPr>
        <w:numPr>
          <w:ilvl w:val="0"/>
          <w:numId w:val="1"/>
        </w:numPr>
        <w:tabs>
          <w:tab w:val="num" w:pos="1134"/>
        </w:tabs>
        <w:autoSpaceDE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59</w:t>
      </w:r>
      <w:r w:rsidR="00D91657">
        <w:rPr>
          <w:sz w:val="28"/>
          <w:szCs w:val="28"/>
        </w:rPr>
        <w:t>.99</w:t>
      </w:r>
      <w:r>
        <w:rPr>
          <w:sz w:val="28"/>
          <w:szCs w:val="28"/>
        </w:rPr>
        <w:t xml:space="preserve"> </w:t>
      </w:r>
      <w:r w:rsidR="00D91657">
        <w:rPr>
          <w:sz w:val="28"/>
          <w:szCs w:val="28"/>
        </w:rPr>
        <w:t>-</w:t>
      </w:r>
      <w:r>
        <w:rPr>
          <w:sz w:val="28"/>
          <w:szCs w:val="28"/>
        </w:rPr>
        <w:t xml:space="preserve"> 50%-20%</w:t>
      </w:r>
      <w:r w:rsidR="00D91657">
        <w:rPr>
          <w:sz w:val="28"/>
          <w:szCs w:val="28"/>
        </w:rPr>
        <w:t xml:space="preserve"> върху стойността на доставката;</w:t>
      </w:r>
    </w:p>
    <w:p w:rsidR="0045635D" w:rsidRDefault="0045635D" w:rsidP="0045635D">
      <w:pPr>
        <w:numPr>
          <w:ilvl w:val="0"/>
          <w:numId w:val="1"/>
        </w:numPr>
        <w:tabs>
          <w:tab w:val="num" w:pos="1134"/>
        </w:tabs>
        <w:autoSpaceDE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49.99 - 40%-30% върху стойността на доставката;</w:t>
      </w:r>
    </w:p>
    <w:p w:rsidR="0045635D" w:rsidRDefault="0045635D" w:rsidP="0045635D">
      <w:pPr>
        <w:numPr>
          <w:ilvl w:val="0"/>
          <w:numId w:val="1"/>
        </w:numPr>
        <w:tabs>
          <w:tab w:val="num" w:pos="1134"/>
        </w:tabs>
        <w:autoSpaceDE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39.99 - 30%-</w:t>
      </w:r>
      <w:r w:rsidR="00962B75">
        <w:rPr>
          <w:sz w:val="28"/>
          <w:szCs w:val="28"/>
        </w:rPr>
        <w:t>6</w:t>
      </w:r>
      <w:r>
        <w:rPr>
          <w:sz w:val="28"/>
          <w:szCs w:val="28"/>
        </w:rPr>
        <w:t>0% върху стойността на доставката;</w:t>
      </w:r>
    </w:p>
    <w:p w:rsidR="00962B75" w:rsidRDefault="00962B75" w:rsidP="00962B75">
      <w:pPr>
        <w:numPr>
          <w:ilvl w:val="0"/>
          <w:numId w:val="1"/>
        </w:numPr>
        <w:tabs>
          <w:tab w:val="num" w:pos="1134"/>
        </w:tabs>
        <w:autoSpaceDE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29.99 - 20%-75% върху стойността на доставката;</w:t>
      </w:r>
    </w:p>
    <w:p w:rsidR="00962B75" w:rsidRDefault="001519B1" w:rsidP="00962B75">
      <w:pPr>
        <w:numPr>
          <w:ilvl w:val="0"/>
          <w:numId w:val="1"/>
        </w:numPr>
        <w:tabs>
          <w:tab w:val="num" w:pos="1134"/>
        </w:tabs>
        <w:autoSpaceDE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2B75">
        <w:rPr>
          <w:sz w:val="28"/>
          <w:szCs w:val="28"/>
        </w:rPr>
        <w:t>од</w:t>
      </w:r>
      <w:r>
        <w:rPr>
          <w:sz w:val="28"/>
          <w:szCs w:val="28"/>
        </w:rPr>
        <w:t xml:space="preserve"> - </w:t>
      </w:r>
      <w:r w:rsidR="00962B75">
        <w:rPr>
          <w:sz w:val="28"/>
          <w:szCs w:val="28"/>
        </w:rPr>
        <w:t>20%- 90% върху стойността на доставката</w:t>
      </w:r>
      <w:r>
        <w:rPr>
          <w:sz w:val="28"/>
          <w:szCs w:val="28"/>
        </w:rPr>
        <w:t>.</w:t>
      </w:r>
    </w:p>
    <w:p w:rsidR="00D91657" w:rsidRDefault="00D91657" w:rsidP="00D91657">
      <w:pPr>
        <w:autoSpaceDE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Специфични изисквания към </w:t>
      </w:r>
      <w:r w:rsidR="006A329A">
        <w:rPr>
          <w:b/>
          <w:sz w:val="28"/>
          <w:szCs w:val="28"/>
        </w:rPr>
        <w:t>лекарствените продукти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      </w:t>
      </w:r>
    </w:p>
    <w:p w:rsidR="006A329A" w:rsidRPr="006A329A" w:rsidRDefault="006A329A" w:rsidP="006A329A">
      <w:pPr>
        <w:pStyle w:val="BodyText"/>
        <w:numPr>
          <w:ilvl w:val="0"/>
          <w:numId w:val="2"/>
        </w:numPr>
        <w:autoSpaceDE/>
        <w:jc w:val="both"/>
      </w:pPr>
      <w:r w:rsidRPr="006A329A">
        <w:rPr>
          <w:color w:val="000000"/>
        </w:rPr>
        <w:t>Лекарствените продукти трябва да отговарят на изискванията на Закона за лекарствените продукти в хуманната медицина (ЗЛПХМ) – трябва да притежават валидно разрешение за употреба в страната, издадено по реда на ЗЛПХМ или Регламент (ЕО) №726/2004 г. на Европейския парламент и Съвета (чл. 23, ал.1 на ЗЛПХМ) и сертификат за освобождаване на партида, издаден от квалифицирано лице по ЗЛПХМ и удостоверяващ, че партидата лекарствен продукт е произведена и контролирана в съответствие с изискванията на разрешението за упо</w:t>
      </w:r>
      <w:r w:rsidR="002E330B">
        <w:rPr>
          <w:color w:val="000000"/>
        </w:rPr>
        <w:t>треба по реда на ЗЛПХМ. В случаи</w:t>
      </w:r>
      <w:r w:rsidRPr="006A329A">
        <w:rPr>
          <w:color w:val="000000"/>
        </w:rPr>
        <w:t xml:space="preserve"> на изтичане на срока на разрешението за употреба на лекарствен продукт през 2012 г., участникът декларира в съответствие с чл. 55, ал.6 от ЗЛПХМ, че количествата за лекарствения продукт са налични.</w:t>
      </w:r>
    </w:p>
    <w:p w:rsidR="00F624A3" w:rsidRDefault="00B8070F" w:rsidP="00F624A3">
      <w:pPr>
        <w:pStyle w:val="BodyText"/>
        <w:numPr>
          <w:ilvl w:val="0"/>
          <w:numId w:val="2"/>
        </w:numPr>
        <w:autoSpaceDE/>
        <w:jc w:val="both"/>
      </w:pPr>
      <w:r>
        <w:t>Доставените л</w:t>
      </w:r>
      <w:r w:rsidR="006A329A" w:rsidRPr="006A329A">
        <w:t xml:space="preserve">екарствените продукти следва да </w:t>
      </w:r>
      <w:r>
        <w:t>притежават с</w:t>
      </w:r>
      <w:r w:rsidR="006A329A" w:rsidRPr="006A329A">
        <w:t>ертификат за освобождаване на всяка партида, издаден от квалифицирано лице по ЗЛПХМ – заверено от ИЗПЪЛНИТЕЛЯ копие, в превод на български език от фирма, сключила договор с Министерство на външните работи за извършване на официални преводи (Списъкът на фирмите, с които Министерство на външните работи е сключило договори, е публикуван в електронния сайт на МВнР).</w:t>
      </w:r>
    </w:p>
    <w:p w:rsidR="00F624A3" w:rsidRPr="00F624A3" w:rsidRDefault="00F624A3" w:rsidP="00F624A3">
      <w:pPr>
        <w:pStyle w:val="BodyText"/>
        <w:numPr>
          <w:ilvl w:val="0"/>
          <w:numId w:val="2"/>
        </w:numPr>
        <w:autoSpaceDE/>
        <w:jc w:val="both"/>
      </w:pPr>
      <w:r>
        <w:t>Л</w:t>
      </w:r>
      <w:r w:rsidRPr="00B8070F">
        <w:t>екарствените продукти следва да бъдат включени в Позитивния лекарствен списък, актуален към датата на отваряне на плик №1 от процедурата.</w:t>
      </w:r>
    </w:p>
    <w:p w:rsidR="00F624A3" w:rsidRDefault="00F624A3" w:rsidP="00F624A3">
      <w:pPr>
        <w:pStyle w:val="BodyText"/>
        <w:autoSpaceDE/>
        <w:ind w:left="644"/>
        <w:jc w:val="both"/>
      </w:pPr>
      <w:bookmarkStart w:id="0" w:name="_GoBack"/>
      <w:bookmarkEnd w:id="0"/>
    </w:p>
    <w:p w:rsidR="007520B4" w:rsidRDefault="007520B4"/>
    <w:sectPr w:rsidR="007520B4" w:rsidSect="00C8034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D3603"/>
    <w:multiLevelType w:val="hybridMultilevel"/>
    <w:tmpl w:val="3954C612"/>
    <w:lvl w:ilvl="0" w:tplc="0409000D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75B14ADF"/>
    <w:multiLevelType w:val="hybridMultilevel"/>
    <w:tmpl w:val="FC969510"/>
    <w:lvl w:ilvl="0" w:tplc="55B8DB2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0CE"/>
    <w:rsid w:val="001519B1"/>
    <w:rsid w:val="002E330B"/>
    <w:rsid w:val="0045635D"/>
    <w:rsid w:val="005B4508"/>
    <w:rsid w:val="006A329A"/>
    <w:rsid w:val="007520B4"/>
    <w:rsid w:val="00962B75"/>
    <w:rsid w:val="00B770CE"/>
    <w:rsid w:val="00B8070F"/>
    <w:rsid w:val="00C53780"/>
    <w:rsid w:val="00C80343"/>
    <w:rsid w:val="00D91657"/>
    <w:rsid w:val="00EF19D8"/>
    <w:rsid w:val="00F62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657"/>
    <w:pPr>
      <w:autoSpaceDE w:val="0"/>
      <w:autoSpaceDN w:val="0"/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91657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91657"/>
    <w:rPr>
      <w:rFonts w:eastAsia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D91657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D91657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657"/>
    <w:pPr>
      <w:autoSpaceDE w:val="0"/>
      <w:autoSpaceDN w:val="0"/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91657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91657"/>
    <w:rPr>
      <w:rFonts w:eastAsia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D91657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D91657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Vanya Mitkova</dc:creator>
  <cp:keywords/>
  <dc:description/>
  <cp:lastModifiedBy>Vanya Mitkova</cp:lastModifiedBy>
  <cp:revision>16</cp:revision>
  <cp:lastPrinted>2012-01-09T09:58:00Z</cp:lastPrinted>
  <dcterms:created xsi:type="dcterms:W3CDTF">2012-01-09T09:43:00Z</dcterms:created>
  <dcterms:modified xsi:type="dcterms:W3CDTF">2012-01-09T12:14:00Z</dcterms:modified>
</cp:coreProperties>
</file>