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3F" w:rsidRDefault="0086523F" w:rsidP="0086523F">
      <w:pPr>
        <w:pStyle w:val="Header"/>
        <w:jc w:val="center"/>
        <w:rPr>
          <w:lang w:val="bg-BG"/>
        </w:rPr>
      </w:pPr>
    </w:p>
    <w:p w:rsidR="0086523F" w:rsidRDefault="0086523F" w:rsidP="0086523F">
      <w:pPr>
        <w:pStyle w:val="Header"/>
        <w:jc w:val="center"/>
        <w:rPr>
          <w:b/>
          <w:sz w:val="28"/>
          <w:szCs w:val="28"/>
          <w:u w:val="single"/>
          <w:lang w:val="ru-RU"/>
        </w:rPr>
      </w:pPr>
      <w:r>
        <w:object w:dxaOrig="11231" w:dyaOrig="2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95.25pt" o:ole="">
            <v:imagedata r:id="rId5" o:title=""/>
          </v:shape>
          <o:OLEObject Type="Embed" ProgID="CorelDRAW.Graphic.10" ShapeID="_x0000_i1025" DrawAspect="Content" ObjectID="_1505308034" r:id="rId6"/>
        </w:object>
      </w:r>
    </w:p>
    <w:p w:rsidR="0086523F" w:rsidRDefault="0086523F" w:rsidP="0086523F">
      <w:pPr>
        <w:rPr>
          <w:rFonts w:ascii="Times New Roman" w:hAnsi="Times New Roman" w:cs="Times New Roman"/>
          <w:sz w:val="28"/>
          <w:szCs w:val="28"/>
        </w:rPr>
      </w:pPr>
      <w:r>
        <w:tab/>
      </w:r>
      <w:r>
        <w:tab/>
      </w:r>
      <w:r>
        <w:tab/>
      </w:r>
      <w:r>
        <w:tab/>
      </w:r>
      <w:r>
        <w:tab/>
      </w:r>
      <w:r>
        <w:rPr>
          <w:rFonts w:ascii="Times New Roman" w:hAnsi="Times New Roman" w:cs="Times New Roman"/>
          <w:sz w:val="28"/>
          <w:szCs w:val="28"/>
        </w:rPr>
        <w:t>П  О  К  А  Н  А</w:t>
      </w:r>
    </w:p>
    <w:p w:rsidR="0086523F" w:rsidRDefault="0086523F" w:rsidP="0086523F">
      <w:pPr>
        <w:spacing w:after="0"/>
        <w:ind w:firstLine="720"/>
        <w:jc w:val="both"/>
        <w:rPr>
          <w:rFonts w:ascii="Times New Roman" w:hAnsi="Times New Roman" w:cs="Times New Roman"/>
          <w:sz w:val="24"/>
          <w:szCs w:val="24"/>
        </w:rPr>
      </w:pPr>
      <w:r>
        <w:rPr>
          <w:rFonts w:ascii="Times New Roman" w:hAnsi="Times New Roman" w:cs="Times New Roman"/>
          <w:sz w:val="24"/>
          <w:szCs w:val="24"/>
        </w:rPr>
        <w:t>УНИВЕРСИТЕТСКА МНОГОПРОФИЛНА БОЛНИЦА ЗА АКТИВНО ЛЕЧЕНИЕ „СВ. ИВАН РИЛСКИ“ ЕАД гр. София, бул. „Акад. Иван Гешов“  № 15, на основание т.4 от приложение № 3 към чл 13б „Правила за избор на изпълнител за предоставяне на финансови услуги от кредитни или финансови институции“ от „Правилник за реда за упражняване правата на държавата в търговските дружества с държавно участие в капитала“ публикувани в ДВ, бр.49 от 2013г. и на Заповед № 246/17.09.2015 г. на Изпълнителния Директор на болницата</w:t>
      </w:r>
    </w:p>
    <w:p w:rsidR="0086523F" w:rsidRDefault="0086523F" w:rsidP="0086523F">
      <w:pPr>
        <w:spacing w:after="0"/>
        <w:ind w:firstLine="720"/>
        <w:jc w:val="both"/>
        <w:rPr>
          <w:rFonts w:ascii="Times New Roman" w:hAnsi="Times New Roman" w:cs="Times New Roman"/>
          <w:sz w:val="24"/>
          <w:szCs w:val="24"/>
        </w:rPr>
      </w:pPr>
      <w:r>
        <w:rPr>
          <w:rFonts w:ascii="Times New Roman" w:hAnsi="Times New Roman" w:cs="Times New Roman"/>
          <w:sz w:val="24"/>
          <w:szCs w:val="24"/>
        </w:rPr>
        <w:t>КАНИ</w:t>
      </w:r>
    </w:p>
    <w:p w:rsidR="0086523F" w:rsidRDefault="0086523F" w:rsidP="0086523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Заинтересованите кредитни или финансови институции по смисъла на Закона за кредитните институции на Република България да представят оферти за комплексно банково обслужване  на стопанската дейност на УМБАЛ „Св. Иван Рилски“ ЕАД гр. София за срок </w:t>
      </w:r>
      <w:r>
        <w:rPr>
          <w:rFonts w:ascii="Times New Roman" w:hAnsi="Times New Roman" w:cs="Times New Roman"/>
          <w:b/>
          <w:sz w:val="24"/>
          <w:szCs w:val="24"/>
        </w:rPr>
        <w:t>от една година.</w:t>
      </w:r>
    </w:p>
    <w:p w:rsidR="0086523F" w:rsidRDefault="0086523F" w:rsidP="0086523F">
      <w:pPr>
        <w:spacing w:after="0"/>
        <w:jc w:val="both"/>
        <w:rPr>
          <w:rFonts w:ascii="Times New Roman" w:hAnsi="Times New Roman" w:cs="Times New Roman"/>
          <w:sz w:val="24"/>
          <w:szCs w:val="24"/>
        </w:rPr>
      </w:pPr>
      <w:r>
        <w:rPr>
          <w:rFonts w:ascii="Times New Roman" w:hAnsi="Times New Roman" w:cs="Times New Roman"/>
          <w:b/>
          <w:sz w:val="24"/>
          <w:szCs w:val="24"/>
        </w:rPr>
        <w:t>Вид и характеристика на банковите услуги:</w:t>
      </w:r>
    </w:p>
    <w:p w:rsidR="0086523F" w:rsidRDefault="0086523F" w:rsidP="0086523F">
      <w:pPr>
        <w:pStyle w:val="ListParagraph"/>
        <w:numPr>
          <w:ilvl w:val="0"/>
          <w:numId w:val="1"/>
        </w:num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обслужване на разплащателни сметки;</w:t>
      </w:r>
    </w:p>
    <w:p w:rsidR="0086523F" w:rsidRDefault="0086523F" w:rsidP="0086523F">
      <w:pPr>
        <w:pStyle w:val="ListParagraph"/>
        <w:numPr>
          <w:ilvl w:val="0"/>
          <w:numId w:val="1"/>
        </w:num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касови операции;</w:t>
      </w:r>
    </w:p>
    <w:p w:rsidR="0086523F" w:rsidRDefault="0086523F" w:rsidP="0086523F">
      <w:pPr>
        <w:pStyle w:val="ListParagraph"/>
        <w:numPr>
          <w:ilvl w:val="0"/>
          <w:numId w:val="1"/>
        </w:num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междубанкови и вътрешнобанкови преводи /в това число и трудовите възнаграждения на служителите на болницата;</w:t>
      </w:r>
    </w:p>
    <w:p w:rsidR="0086523F" w:rsidRDefault="0086523F" w:rsidP="0086523F">
      <w:pPr>
        <w:pStyle w:val="ListParagraph"/>
        <w:numPr>
          <w:ilvl w:val="0"/>
          <w:numId w:val="1"/>
        </w:num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пласиране на свободни парични следства на депозитни или други банкови сметки;</w:t>
      </w:r>
    </w:p>
    <w:p w:rsidR="0086523F" w:rsidRDefault="0086523F" w:rsidP="0086523F">
      <w:pPr>
        <w:pStyle w:val="ListParagraph"/>
        <w:numPr>
          <w:ilvl w:val="0"/>
          <w:numId w:val="1"/>
        </w:num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финансиране – оборотни и инвестиционни кредити</w:t>
      </w:r>
    </w:p>
    <w:p w:rsidR="0086523F" w:rsidRDefault="0086523F" w:rsidP="0086523F">
      <w:pPr>
        <w:spacing w:after="0"/>
        <w:jc w:val="both"/>
        <w:rPr>
          <w:rFonts w:ascii="Times New Roman" w:hAnsi="Times New Roman" w:cs="Times New Roman"/>
          <w:sz w:val="24"/>
          <w:szCs w:val="24"/>
        </w:rPr>
      </w:pPr>
      <w:r>
        <w:rPr>
          <w:rFonts w:ascii="Times New Roman" w:hAnsi="Times New Roman" w:cs="Times New Roman"/>
          <w:b/>
          <w:sz w:val="24"/>
          <w:szCs w:val="24"/>
        </w:rPr>
        <w:t>Критерии за избор на оферта</w:t>
      </w:r>
      <w:bookmarkStart w:id="0" w:name="_GoBack"/>
      <w:bookmarkEnd w:id="0"/>
      <w:r>
        <w:rPr>
          <w:rFonts w:ascii="Times New Roman" w:hAnsi="Times New Roman" w:cs="Times New Roman"/>
          <w:sz w:val="24"/>
          <w:szCs w:val="24"/>
        </w:rPr>
        <w:t xml:space="preserve"> – икономически най-изгодната оферта, определена въз основа на комплексна оценка</w:t>
      </w:r>
    </w:p>
    <w:p w:rsidR="0086523F" w:rsidRDefault="0086523F" w:rsidP="0086523F">
      <w:pPr>
        <w:spacing w:after="0"/>
        <w:jc w:val="both"/>
        <w:rPr>
          <w:rFonts w:ascii="Times New Roman" w:hAnsi="Times New Roman" w:cs="Times New Roman"/>
          <w:b/>
          <w:sz w:val="24"/>
          <w:szCs w:val="24"/>
        </w:rPr>
      </w:pPr>
      <w:r>
        <w:rPr>
          <w:rFonts w:ascii="Times New Roman" w:hAnsi="Times New Roman" w:cs="Times New Roman"/>
          <w:b/>
          <w:sz w:val="24"/>
          <w:szCs w:val="24"/>
        </w:rPr>
        <w:t>І. Показатели, относителната им тежест и методика за оценка на офертите</w:t>
      </w:r>
    </w:p>
    <w:p w:rsidR="0086523F" w:rsidRDefault="0086523F" w:rsidP="0086523F">
      <w:pPr>
        <w:spacing w:after="0"/>
        <w:jc w:val="both"/>
        <w:rPr>
          <w:rFonts w:ascii="Times New Roman" w:hAnsi="Times New Roman" w:cs="Times New Roman"/>
          <w:sz w:val="24"/>
          <w:szCs w:val="24"/>
        </w:rPr>
      </w:pPr>
      <w:r>
        <w:rPr>
          <w:rFonts w:ascii="Times New Roman" w:hAnsi="Times New Roman" w:cs="Times New Roman"/>
          <w:sz w:val="24"/>
          <w:szCs w:val="24"/>
        </w:rPr>
        <w:t xml:space="preserve">Комплексната оценка /Ко/ се изчислява по формулата </w:t>
      </w:r>
      <w:r>
        <w:rPr>
          <w:rFonts w:ascii="Times New Roman" w:hAnsi="Times New Roman" w:cs="Times New Roman"/>
          <w:b/>
          <w:sz w:val="24"/>
          <w:szCs w:val="24"/>
        </w:rPr>
        <w:t>Ко= Пн*0,40 + Пк*0,60</w:t>
      </w:r>
      <w:r>
        <w:rPr>
          <w:rFonts w:ascii="Times New Roman" w:hAnsi="Times New Roman" w:cs="Times New Roman"/>
          <w:sz w:val="24"/>
          <w:szCs w:val="24"/>
        </w:rPr>
        <w:t>, където:</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Пн</w:t>
      </w:r>
      <w:r>
        <w:rPr>
          <w:rFonts w:ascii="Times New Roman" w:hAnsi="Times New Roman" w:cs="Times New Roman"/>
          <w:sz w:val="24"/>
          <w:szCs w:val="24"/>
        </w:rPr>
        <w:t xml:space="preserve"> - неколичествени показатели. Техният сбор е с фиксирана максимална стойност на относително тегло  от общата оценка на офертата - 40%;</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Пк</w:t>
      </w:r>
      <w:r>
        <w:rPr>
          <w:rFonts w:ascii="Times New Roman" w:hAnsi="Times New Roman" w:cs="Times New Roman"/>
          <w:sz w:val="24"/>
          <w:szCs w:val="24"/>
        </w:rPr>
        <w:t xml:space="preserve"> - количествени показатели. Техният сбор е с фиксирана максимална стойност на относително тегло  от общата оценка на офертата - 60%.</w:t>
      </w:r>
    </w:p>
    <w:p w:rsidR="0086523F" w:rsidRDefault="0086523F" w:rsidP="0086523F">
      <w:pPr>
        <w:pStyle w:val="ListParagraph"/>
        <w:numPr>
          <w:ilvl w:val="0"/>
          <w:numId w:val="2"/>
        </w:numPr>
        <w:spacing w:after="0"/>
        <w:jc w:val="both"/>
        <w:rPr>
          <w:rFonts w:ascii="Times New Roman" w:hAnsi="Times New Roman" w:cs="Times New Roman"/>
          <w:b/>
          <w:sz w:val="24"/>
          <w:szCs w:val="24"/>
          <w:lang w:val="bg-BG"/>
        </w:rPr>
      </w:pPr>
      <w:r>
        <w:rPr>
          <w:rFonts w:ascii="Times New Roman" w:hAnsi="Times New Roman" w:cs="Times New Roman"/>
          <w:b/>
          <w:sz w:val="24"/>
          <w:szCs w:val="24"/>
          <w:lang w:val="bg-BG"/>
        </w:rPr>
        <w:t>Неколичествени показатели и техните максимални стойности:</w:t>
      </w:r>
    </w:p>
    <w:p w:rsidR="0086523F" w:rsidRDefault="0086523F" w:rsidP="0086523F">
      <w:pPr>
        <w:pStyle w:val="ListParagraph"/>
        <w:spacing w:after="0"/>
        <w:jc w:val="both"/>
        <w:rPr>
          <w:rFonts w:ascii="Times New Roman" w:hAnsi="Times New Roman" w:cs="Times New Roman"/>
          <w:b/>
          <w:sz w:val="24"/>
          <w:szCs w:val="24"/>
          <w:lang w:val="bg-BG"/>
        </w:rPr>
      </w:pPr>
    </w:p>
    <w:p w:rsidR="0086523F" w:rsidRDefault="0086523F" w:rsidP="0086523F">
      <w:pPr>
        <w:pStyle w:val="ListParagraph"/>
        <w:spacing w:after="0"/>
        <w:jc w:val="both"/>
        <w:rPr>
          <w:rFonts w:ascii="Times New Roman" w:hAnsi="Times New Roman" w:cs="Times New Roman"/>
          <w:sz w:val="24"/>
          <w:szCs w:val="24"/>
          <w:lang w:val="bg-BG"/>
        </w:rPr>
      </w:pPr>
      <w:r>
        <w:rPr>
          <w:rFonts w:ascii="Times New Roman" w:hAnsi="Times New Roman" w:cs="Times New Roman"/>
          <w:b/>
          <w:sz w:val="24"/>
          <w:szCs w:val="24"/>
          <w:lang w:val="bg-BG"/>
        </w:rPr>
        <w:t>Пн = Пн1 + Пн2 + Пн3 + Пн4</w:t>
      </w:r>
      <w:r>
        <w:rPr>
          <w:rFonts w:ascii="Times New Roman" w:hAnsi="Times New Roman" w:cs="Times New Roman"/>
          <w:sz w:val="24"/>
          <w:szCs w:val="24"/>
          <w:lang w:val="bg-BG"/>
        </w:rPr>
        <w:t>, където:</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Пн1</w:t>
      </w:r>
      <w:r>
        <w:rPr>
          <w:rFonts w:ascii="Times New Roman" w:hAnsi="Times New Roman" w:cs="Times New Roman"/>
          <w:sz w:val="24"/>
          <w:szCs w:val="24"/>
        </w:rPr>
        <w:t xml:space="preserve"> – Лиценза на кредитната или финансова институция по смисъла на Закона за кредитните институции да съдържа миниминимум следните дейности:</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1.1.1. Публично привличане на влогове или други възстановими средства и предоставяне на кредити или друго финансиране за своя сметка и на собствен риск;</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1.1.2. Извършване на услуги по парични преводи, а след 1 ноември 2009г. – извършване на платежни услуги по смисъла на Закона за платежните услуги и платежните системи;</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1.1.3. Издаване и администриране на други средства за плащане /платежни карти, пътнически чекове и кредитни писма/, доколкото тази дейност не е обхваната от т.2;</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1.1.4. Дейност като депозитарна и попечителска институция;</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1.1.5. Финансов лизинг;</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1.1.6. Гаранционни сделки;</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1.1.7. Търгуване за собствена сметка или засметка на клиенти с:</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 инструменти на паричния пазар – чекове, менителници, депозитни сертификати и други, извън случаите по т.9;</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 чуждестранна валута и благородни метали;</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 финансови фючърси, опции, инструменти, свързани с валутни курсове и лихвени проценти, както и други деривативни енструменти, извън случаите по т.9;</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1.1.8. Търгуване за собствена сметка или за сметка на клиента с прехвърляеми ценни книжа, участие в емисии на ценни книжа, както и други услуги и дейности по чл.5, ал.2 и 3 от Закона за пазарите на финансови инструменти;</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1.1.9. Парично брокерство;</w:t>
      </w:r>
    </w:p>
    <w:p w:rsidR="0086523F" w:rsidRDefault="0086523F" w:rsidP="0086523F">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1.1.10. Придобиване на вземания, произтичащи от доставка на стоки или предоставяне на услуги /факторинг/;</w:t>
      </w:r>
    </w:p>
    <w:p w:rsidR="0086523F" w:rsidRDefault="0086523F" w:rsidP="0086523F">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1.1.11. Събиране, предоставяне на информация и референции относно кредитоспособността на клиентите. </w:t>
      </w:r>
    </w:p>
    <w:p w:rsidR="0086523F" w:rsidRDefault="0086523F" w:rsidP="0086523F">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Максималният брой точки за показателя </w:t>
      </w:r>
      <w:r>
        <w:rPr>
          <w:rFonts w:ascii="Times New Roman" w:hAnsi="Times New Roman" w:cs="Times New Roman"/>
          <w:b/>
          <w:sz w:val="24"/>
          <w:szCs w:val="24"/>
        </w:rPr>
        <w:t>Пн1</w:t>
      </w:r>
      <w:r>
        <w:rPr>
          <w:rFonts w:ascii="Times New Roman" w:hAnsi="Times New Roman" w:cs="Times New Roman"/>
          <w:sz w:val="24"/>
          <w:szCs w:val="24"/>
        </w:rPr>
        <w:t xml:space="preserve"> е </w:t>
      </w:r>
      <w:r>
        <w:rPr>
          <w:rFonts w:ascii="Times New Roman" w:hAnsi="Times New Roman" w:cs="Times New Roman"/>
          <w:b/>
          <w:sz w:val="24"/>
          <w:szCs w:val="24"/>
        </w:rPr>
        <w:t>30 точки</w:t>
      </w:r>
      <w:r>
        <w:rPr>
          <w:rFonts w:ascii="Times New Roman" w:hAnsi="Times New Roman" w:cs="Times New Roman"/>
          <w:sz w:val="24"/>
          <w:szCs w:val="24"/>
        </w:rPr>
        <w:t>.  (Показателят е необходим за запознаване с номенклатурата от услуги на финансовата институция.)</w:t>
      </w:r>
    </w:p>
    <w:p w:rsidR="0086523F" w:rsidRDefault="0086523F" w:rsidP="0086523F">
      <w:pPr>
        <w:pStyle w:val="ListParagraph"/>
        <w:numPr>
          <w:ilvl w:val="1"/>
          <w:numId w:val="2"/>
        </w:numPr>
        <w:spacing w:after="0"/>
        <w:ind w:left="360"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Пн2 </w:t>
      </w:r>
      <w:r>
        <w:rPr>
          <w:rFonts w:ascii="Times New Roman" w:hAnsi="Times New Roman" w:cs="Times New Roman"/>
          <w:sz w:val="24"/>
          <w:szCs w:val="24"/>
          <w:lang w:val="bg-BG"/>
        </w:rPr>
        <w:t xml:space="preserve">– Видове банкови услуги и справки, които предлага програмата за електронно банкиране – </w:t>
      </w:r>
      <w:r>
        <w:rPr>
          <w:rFonts w:ascii="Times New Roman" w:hAnsi="Times New Roman" w:cs="Times New Roman"/>
          <w:b/>
          <w:sz w:val="24"/>
          <w:szCs w:val="24"/>
          <w:lang w:val="bg-BG"/>
        </w:rPr>
        <w:t>25 точки</w:t>
      </w:r>
      <w:r>
        <w:rPr>
          <w:rFonts w:ascii="Times New Roman" w:hAnsi="Times New Roman" w:cs="Times New Roman"/>
          <w:sz w:val="24"/>
          <w:szCs w:val="24"/>
          <w:lang w:val="bg-BG"/>
        </w:rPr>
        <w:t>. (Показателят е необходим за запознаване с функционалните възможности на програмата.)</w:t>
      </w:r>
    </w:p>
    <w:p w:rsidR="0086523F" w:rsidRDefault="0086523F" w:rsidP="0086523F">
      <w:pPr>
        <w:pStyle w:val="ListParagraph"/>
        <w:numPr>
          <w:ilvl w:val="1"/>
          <w:numId w:val="2"/>
        </w:numPr>
        <w:spacing w:after="0"/>
        <w:ind w:left="0" w:firstLine="1134"/>
        <w:jc w:val="both"/>
        <w:rPr>
          <w:rFonts w:ascii="Times New Roman" w:hAnsi="Times New Roman" w:cs="Times New Roman"/>
          <w:color w:val="FF0000"/>
          <w:sz w:val="24"/>
          <w:szCs w:val="24"/>
          <w:lang w:val="bg-BG"/>
        </w:rPr>
      </w:pPr>
      <w:r>
        <w:rPr>
          <w:rFonts w:ascii="Times New Roman" w:hAnsi="Times New Roman" w:cs="Times New Roman"/>
          <w:b/>
          <w:sz w:val="24"/>
          <w:szCs w:val="24"/>
          <w:lang w:val="bg-BG"/>
        </w:rPr>
        <w:t>Пн3</w:t>
      </w:r>
      <w:r>
        <w:rPr>
          <w:rFonts w:ascii="Times New Roman" w:hAnsi="Times New Roman" w:cs="Times New Roman"/>
          <w:sz w:val="24"/>
          <w:szCs w:val="24"/>
          <w:lang w:val="bg-BG"/>
        </w:rPr>
        <w:t xml:space="preserve"> -  рейтинг на кредитната или банкова институция, кандидатстваща по настоящата покана, излъчен от една от следните рейтингови агенции: </w:t>
      </w:r>
      <w:proofErr w:type="spellStart"/>
      <w:r>
        <w:rPr>
          <w:rFonts w:ascii="Times New Roman" w:hAnsi="Times New Roman" w:cs="Times New Roman"/>
          <w:sz w:val="24"/>
          <w:szCs w:val="24"/>
        </w:rPr>
        <w:t>Moody”s</w:t>
      </w:r>
      <w:proofErr w:type="spellEnd"/>
      <w:r>
        <w:rPr>
          <w:rFonts w:ascii="Times New Roman" w:hAnsi="Times New Roman" w:cs="Times New Roman"/>
          <w:sz w:val="24"/>
          <w:szCs w:val="24"/>
        </w:rPr>
        <w:t xml:space="preserve">; S&amp;P; Fitch </w:t>
      </w:r>
      <w:r>
        <w:rPr>
          <w:rFonts w:ascii="Times New Roman" w:hAnsi="Times New Roman" w:cs="Times New Roman"/>
          <w:sz w:val="24"/>
          <w:szCs w:val="24"/>
          <w:lang w:val="bg-BG"/>
        </w:rPr>
        <w:t xml:space="preserve">или </w:t>
      </w:r>
      <w:r>
        <w:rPr>
          <w:rFonts w:ascii="Times New Roman" w:hAnsi="Times New Roman" w:cs="Times New Roman"/>
          <w:sz w:val="24"/>
          <w:szCs w:val="24"/>
        </w:rPr>
        <w:t>DBRS</w:t>
      </w:r>
      <w:r>
        <w:rPr>
          <w:rFonts w:ascii="Times New Roman" w:hAnsi="Times New Roman" w:cs="Times New Roman"/>
          <w:sz w:val="24"/>
          <w:szCs w:val="24"/>
          <w:lang w:val="bg-BG"/>
        </w:rPr>
        <w:t xml:space="preserve"> - </w:t>
      </w:r>
      <w:r>
        <w:rPr>
          <w:rFonts w:ascii="Times New Roman" w:hAnsi="Times New Roman" w:cs="Times New Roman"/>
          <w:b/>
          <w:sz w:val="24"/>
          <w:szCs w:val="24"/>
          <w:lang w:val="bg-BG"/>
        </w:rPr>
        <w:t>30 точки</w:t>
      </w:r>
      <w:r>
        <w:rPr>
          <w:rFonts w:ascii="Times New Roman" w:hAnsi="Times New Roman" w:cs="Times New Roman"/>
          <w:sz w:val="24"/>
          <w:szCs w:val="24"/>
          <w:lang w:val="bg-BG"/>
        </w:rPr>
        <w:t>; (Показателят е необходим за запознаване с рейтинга на финансовата институция излъчен от международна рейтингова агенция.)</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1.4. Пн4</w:t>
      </w:r>
      <w:r>
        <w:rPr>
          <w:rFonts w:ascii="Times New Roman" w:hAnsi="Times New Roman" w:cs="Times New Roman"/>
          <w:sz w:val="24"/>
          <w:szCs w:val="24"/>
        </w:rPr>
        <w:t xml:space="preserve"> -  развитие на клоновата мрежа в страната /брой клонове, офиси и отдалечени работни места/ - </w:t>
      </w:r>
      <w:r>
        <w:rPr>
          <w:rFonts w:ascii="Times New Roman" w:hAnsi="Times New Roman" w:cs="Times New Roman"/>
          <w:b/>
          <w:sz w:val="24"/>
          <w:szCs w:val="24"/>
        </w:rPr>
        <w:t>25 точки</w:t>
      </w:r>
      <w:r>
        <w:rPr>
          <w:rFonts w:ascii="Times New Roman" w:hAnsi="Times New Roman" w:cs="Times New Roman"/>
          <w:sz w:val="24"/>
          <w:szCs w:val="24"/>
        </w:rPr>
        <w:t>.</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hAnsi="Times New Roman" w:cs="Times New Roman"/>
          <w:b/>
          <w:sz w:val="24"/>
          <w:szCs w:val="24"/>
        </w:rPr>
        <w:t>Пн5</w:t>
      </w:r>
      <w:r>
        <w:rPr>
          <w:rFonts w:ascii="Times New Roman" w:hAnsi="Times New Roman" w:cs="Times New Roman"/>
          <w:sz w:val="24"/>
          <w:szCs w:val="24"/>
        </w:rPr>
        <w:t xml:space="preserve"> -  срок за обслужване на плащанията /времето необходимо за обслужване на петдесет броя нареждания на хартиен носител/- </w:t>
      </w:r>
      <w:r>
        <w:rPr>
          <w:rFonts w:ascii="Times New Roman" w:hAnsi="Times New Roman" w:cs="Times New Roman"/>
          <w:b/>
          <w:sz w:val="24"/>
          <w:szCs w:val="24"/>
        </w:rPr>
        <w:t>20 точки</w:t>
      </w:r>
      <w:r>
        <w:rPr>
          <w:rFonts w:ascii="Times New Roman" w:hAnsi="Times New Roman" w:cs="Times New Roman"/>
          <w:sz w:val="24"/>
          <w:szCs w:val="24"/>
        </w:rPr>
        <w:t>.</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w:t>
      </w:r>
      <w:r>
        <w:rPr>
          <w:rFonts w:ascii="Times New Roman" w:hAnsi="Times New Roman" w:cs="Times New Roman"/>
          <w:b/>
          <w:sz w:val="24"/>
          <w:szCs w:val="24"/>
        </w:rPr>
        <w:t>Пн6</w:t>
      </w:r>
      <w:r>
        <w:rPr>
          <w:rFonts w:ascii="Times New Roman" w:hAnsi="Times New Roman" w:cs="Times New Roman"/>
          <w:sz w:val="24"/>
          <w:szCs w:val="24"/>
        </w:rPr>
        <w:t xml:space="preserve"> -  надеждност на платформата за интернет банкиране - </w:t>
      </w:r>
      <w:r>
        <w:rPr>
          <w:rFonts w:ascii="Times New Roman" w:hAnsi="Times New Roman" w:cs="Times New Roman"/>
          <w:b/>
          <w:sz w:val="24"/>
          <w:szCs w:val="24"/>
        </w:rPr>
        <w:t>20 точки</w:t>
      </w:r>
      <w:r>
        <w:rPr>
          <w:rFonts w:ascii="Times New Roman" w:hAnsi="Times New Roman" w:cs="Times New Roman"/>
          <w:sz w:val="24"/>
          <w:szCs w:val="24"/>
        </w:rPr>
        <w:t>.</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Максимална стойност на неколичествените показатели – </w:t>
      </w:r>
      <w:r>
        <w:rPr>
          <w:rFonts w:ascii="Times New Roman" w:hAnsi="Times New Roman" w:cs="Times New Roman"/>
          <w:b/>
          <w:sz w:val="24"/>
          <w:szCs w:val="24"/>
        </w:rPr>
        <w:t>150 точки</w:t>
      </w:r>
      <w:r>
        <w:rPr>
          <w:rFonts w:ascii="Times New Roman" w:hAnsi="Times New Roman" w:cs="Times New Roman"/>
          <w:sz w:val="24"/>
          <w:szCs w:val="24"/>
        </w:rPr>
        <w:t>.</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Най-високата оценка по всеки от показателите получава максимален брой точки. Всяка следваща оценка получава две точки по-малко от предходната.</w:t>
      </w:r>
    </w:p>
    <w:p w:rsidR="0086523F" w:rsidRDefault="0086523F" w:rsidP="0086523F">
      <w:pPr>
        <w:spacing w:after="0"/>
        <w:ind w:left="360"/>
        <w:jc w:val="both"/>
        <w:rPr>
          <w:rFonts w:ascii="Times New Roman" w:hAnsi="Times New Roman" w:cs="Times New Roman"/>
          <w:b/>
          <w:sz w:val="24"/>
          <w:szCs w:val="24"/>
        </w:rPr>
      </w:pPr>
      <w:r>
        <w:rPr>
          <w:rFonts w:ascii="Times New Roman" w:hAnsi="Times New Roman" w:cs="Times New Roman"/>
          <w:b/>
          <w:sz w:val="24"/>
          <w:szCs w:val="24"/>
        </w:rPr>
        <w:t>2.Количествени показатели и техните максимални стойности:</w:t>
      </w:r>
    </w:p>
    <w:p w:rsidR="0086523F" w:rsidRDefault="0086523F" w:rsidP="008652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Пк1</w:t>
      </w:r>
      <w:r>
        <w:rPr>
          <w:rFonts w:ascii="Times New Roman" w:hAnsi="Times New Roman" w:cs="Times New Roman"/>
          <w:sz w:val="24"/>
          <w:szCs w:val="24"/>
        </w:rPr>
        <w:t xml:space="preserve"> - такса вноска на каса в лева – </w:t>
      </w:r>
      <w:r>
        <w:rPr>
          <w:rFonts w:ascii="Times New Roman" w:hAnsi="Times New Roman" w:cs="Times New Roman"/>
          <w:b/>
          <w:sz w:val="24"/>
          <w:szCs w:val="24"/>
        </w:rPr>
        <w:t>6 точки</w:t>
      </w:r>
      <w:r>
        <w:rPr>
          <w:rFonts w:ascii="Times New Roman" w:hAnsi="Times New Roman" w:cs="Times New Roman"/>
          <w:sz w:val="24"/>
          <w:szCs w:val="24"/>
        </w:rPr>
        <w:t>.</w:t>
      </w:r>
    </w:p>
    <w:p w:rsidR="0086523F" w:rsidRDefault="0086523F" w:rsidP="008652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Пк2</w:t>
      </w:r>
      <w:r>
        <w:rPr>
          <w:rFonts w:ascii="Times New Roman" w:hAnsi="Times New Roman" w:cs="Times New Roman"/>
          <w:sz w:val="24"/>
          <w:szCs w:val="24"/>
        </w:rPr>
        <w:t xml:space="preserve"> - минимален размер на вноска в лева неподлежаща на такса по т.1 – </w:t>
      </w:r>
      <w:r>
        <w:rPr>
          <w:rFonts w:ascii="Times New Roman" w:hAnsi="Times New Roman" w:cs="Times New Roman"/>
          <w:b/>
          <w:sz w:val="24"/>
          <w:szCs w:val="24"/>
        </w:rPr>
        <w:t>6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Пк3</w:t>
      </w:r>
      <w:r>
        <w:rPr>
          <w:rFonts w:ascii="Times New Roman" w:hAnsi="Times New Roman" w:cs="Times New Roman"/>
          <w:sz w:val="24"/>
          <w:szCs w:val="24"/>
        </w:rPr>
        <w:t xml:space="preserve"> – такса месечно обслужване по разплащателна сметка в лева – </w:t>
      </w:r>
      <w:r>
        <w:rPr>
          <w:rFonts w:ascii="Times New Roman" w:hAnsi="Times New Roman" w:cs="Times New Roman"/>
          <w:b/>
          <w:sz w:val="24"/>
          <w:szCs w:val="24"/>
        </w:rPr>
        <w:t>6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2.4. </w:t>
      </w:r>
      <w:r>
        <w:rPr>
          <w:rFonts w:ascii="Times New Roman" w:hAnsi="Times New Roman" w:cs="Times New Roman"/>
          <w:b/>
          <w:sz w:val="24"/>
          <w:szCs w:val="24"/>
        </w:rPr>
        <w:t>Пк4</w:t>
      </w:r>
      <w:r>
        <w:rPr>
          <w:rFonts w:ascii="Times New Roman" w:hAnsi="Times New Roman" w:cs="Times New Roman"/>
          <w:sz w:val="24"/>
          <w:szCs w:val="24"/>
        </w:rPr>
        <w:t xml:space="preserve"> – възможност за получаване на извлечение по електронен </w:t>
      </w:r>
      <w:r>
        <w:rPr>
          <w:rFonts w:ascii="Times New Roman" w:hAnsi="Times New Roman" w:cs="Times New Roman"/>
          <w:b/>
          <w:sz w:val="24"/>
          <w:szCs w:val="24"/>
        </w:rPr>
        <w:t>канал – 6 точки;</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2.5. Пк5 – годишна лихва по разплащателна сметка в лева – 14</w:t>
      </w:r>
      <w:r>
        <w:rPr>
          <w:rFonts w:ascii="Times New Roman" w:hAnsi="Times New Roman" w:cs="Times New Roman"/>
          <w:sz w:val="24"/>
          <w:szCs w:val="24"/>
        </w:rPr>
        <w:t xml:space="preserve"> точки;</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b/>
          <w:sz w:val="24"/>
          <w:szCs w:val="24"/>
        </w:rPr>
        <w:t>Пк6</w:t>
      </w:r>
      <w:r>
        <w:rPr>
          <w:rFonts w:ascii="Times New Roman" w:hAnsi="Times New Roman" w:cs="Times New Roman"/>
          <w:sz w:val="24"/>
          <w:szCs w:val="24"/>
        </w:rPr>
        <w:t xml:space="preserve"> – такса за изходящ превод в лева по БИСЕРА /на хартиен носител/ - </w:t>
      </w:r>
      <w:r>
        <w:rPr>
          <w:rFonts w:ascii="Times New Roman" w:hAnsi="Times New Roman" w:cs="Times New Roman"/>
          <w:b/>
          <w:sz w:val="24"/>
          <w:szCs w:val="24"/>
        </w:rPr>
        <w:t>7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b/>
          <w:sz w:val="24"/>
          <w:szCs w:val="24"/>
        </w:rPr>
        <w:t>Пк7</w:t>
      </w:r>
      <w:r>
        <w:rPr>
          <w:rFonts w:ascii="Times New Roman" w:hAnsi="Times New Roman" w:cs="Times New Roman"/>
          <w:sz w:val="24"/>
          <w:szCs w:val="24"/>
        </w:rPr>
        <w:t xml:space="preserve"> – такса за изходящ превод в лева по БИСЕРА /чрез електронен канал/ - </w:t>
      </w:r>
      <w:r>
        <w:rPr>
          <w:rFonts w:ascii="Times New Roman" w:hAnsi="Times New Roman" w:cs="Times New Roman"/>
          <w:b/>
          <w:sz w:val="24"/>
          <w:szCs w:val="24"/>
        </w:rPr>
        <w:t>13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w:t>
      </w:r>
      <w:r>
        <w:rPr>
          <w:rFonts w:ascii="Times New Roman" w:hAnsi="Times New Roman" w:cs="Times New Roman"/>
          <w:b/>
          <w:sz w:val="24"/>
          <w:szCs w:val="24"/>
        </w:rPr>
        <w:t>Пк8</w:t>
      </w:r>
      <w:r>
        <w:rPr>
          <w:rFonts w:ascii="Times New Roman" w:hAnsi="Times New Roman" w:cs="Times New Roman"/>
          <w:sz w:val="24"/>
          <w:szCs w:val="24"/>
        </w:rPr>
        <w:t xml:space="preserve"> – такса за масов превод на заплати в лева по БИСЕРА /на хартиен носител/ - </w:t>
      </w:r>
      <w:r>
        <w:rPr>
          <w:rFonts w:ascii="Times New Roman" w:hAnsi="Times New Roman" w:cs="Times New Roman"/>
          <w:b/>
          <w:sz w:val="24"/>
          <w:szCs w:val="24"/>
        </w:rPr>
        <w:t>7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b/>
          <w:sz w:val="24"/>
          <w:szCs w:val="24"/>
        </w:rPr>
        <w:t>Пк9</w:t>
      </w:r>
      <w:r>
        <w:rPr>
          <w:rFonts w:ascii="Times New Roman" w:hAnsi="Times New Roman" w:cs="Times New Roman"/>
          <w:sz w:val="24"/>
          <w:szCs w:val="24"/>
        </w:rPr>
        <w:t xml:space="preserve"> – такса за масов превод на заплати в лева по БИСЕРА /чрез електронен канал/ - </w:t>
      </w:r>
      <w:r>
        <w:rPr>
          <w:rFonts w:ascii="Times New Roman" w:hAnsi="Times New Roman" w:cs="Times New Roman"/>
          <w:b/>
          <w:sz w:val="24"/>
          <w:szCs w:val="24"/>
        </w:rPr>
        <w:t>13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b/>
          <w:sz w:val="24"/>
          <w:szCs w:val="24"/>
        </w:rPr>
        <w:t>Пк10</w:t>
      </w:r>
      <w:r>
        <w:rPr>
          <w:rFonts w:ascii="Times New Roman" w:hAnsi="Times New Roman" w:cs="Times New Roman"/>
          <w:sz w:val="24"/>
          <w:szCs w:val="24"/>
        </w:rPr>
        <w:t xml:space="preserve"> – такса изходящ превод в лева по РИНГС /на хартиен носител/ - </w:t>
      </w:r>
      <w:r>
        <w:rPr>
          <w:rFonts w:ascii="Times New Roman" w:hAnsi="Times New Roman" w:cs="Times New Roman"/>
          <w:b/>
          <w:sz w:val="24"/>
          <w:szCs w:val="24"/>
        </w:rPr>
        <w:t>6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2.11. </w:t>
      </w:r>
      <w:r>
        <w:rPr>
          <w:rFonts w:ascii="Times New Roman" w:hAnsi="Times New Roman" w:cs="Times New Roman"/>
          <w:b/>
          <w:sz w:val="24"/>
          <w:szCs w:val="24"/>
        </w:rPr>
        <w:t>Пк11</w:t>
      </w:r>
      <w:r>
        <w:rPr>
          <w:rFonts w:ascii="Times New Roman" w:hAnsi="Times New Roman" w:cs="Times New Roman"/>
          <w:sz w:val="24"/>
          <w:szCs w:val="24"/>
        </w:rPr>
        <w:t xml:space="preserve"> – такса изходящ превод в лева по РИНГС /чрез електронен канал/ - </w:t>
      </w:r>
      <w:r>
        <w:rPr>
          <w:rFonts w:ascii="Times New Roman" w:hAnsi="Times New Roman" w:cs="Times New Roman"/>
          <w:b/>
          <w:sz w:val="24"/>
          <w:szCs w:val="24"/>
        </w:rPr>
        <w:t>7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2.12. </w:t>
      </w:r>
      <w:r>
        <w:rPr>
          <w:rFonts w:ascii="Times New Roman" w:hAnsi="Times New Roman" w:cs="Times New Roman"/>
          <w:b/>
          <w:sz w:val="24"/>
          <w:szCs w:val="24"/>
        </w:rPr>
        <w:t>Пк12</w:t>
      </w:r>
      <w:r>
        <w:rPr>
          <w:rFonts w:ascii="Times New Roman" w:hAnsi="Times New Roman" w:cs="Times New Roman"/>
          <w:sz w:val="24"/>
          <w:szCs w:val="24"/>
        </w:rPr>
        <w:t xml:space="preserve"> – такса за вътрешнобанков превод в лева /на хатриен носител/ – </w:t>
      </w:r>
      <w:r>
        <w:rPr>
          <w:rFonts w:ascii="Times New Roman" w:hAnsi="Times New Roman" w:cs="Times New Roman"/>
          <w:b/>
          <w:sz w:val="24"/>
          <w:szCs w:val="24"/>
        </w:rPr>
        <w:t>7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2.13. </w:t>
      </w:r>
      <w:r>
        <w:rPr>
          <w:rFonts w:ascii="Times New Roman" w:hAnsi="Times New Roman" w:cs="Times New Roman"/>
          <w:b/>
          <w:sz w:val="24"/>
          <w:szCs w:val="24"/>
        </w:rPr>
        <w:t>Пк13</w:t>
      </w:r>
      <w:r>
        <w:rPr>
          <w:rFonts w:ascii="Times New Roman" w:hAnsi="Times New Roman" w:cs="Times New Roman"/>
          <w:sz w:val="24"/>
          <w:szCs w:val="24"/>
        </w:rPr>
        <w:t xml:space="preserve"> – такса за вътрешнобанков превод в лева/ чрез електронен канал/ - </w:t>
      </w:r>
      <w:r>
        <w:rPr>
          <w:rFonts w:ascii="Times New Roman" w:hAnsi="Times New Roman" w:cs="Times New Roman"/>
          <w:b/>
          <w:sz w:val="24"/>
          <w:szCs w:val="24"/>
        </w:rPr>
        <w:t>12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2.14. </w:t>
      </w:r>
      <w:r>
        <w:rPr>
          <w:rFonts w:ascii="Times New Roman" w:hAnsi="Times New Roman" w:cs="Times New Roman"/>
          <w:b/>
          <w:sz w:val="24"/>
          <w:szCs w:val="24"/>
        </w:rPr>
        <w:t>Пк14</w:t>
      </w:r>
      <w:r>
        <w:rPr>
          <w:rFonts w:ascii="Times New Roman" w:hAnsi="Times New Roman" w:cs="Times New Roman"/>
          <w:sz w:val="24"/>
          <w:szCs w:val="24"/>
        </w:rPr>
        <w:t xml:space="preserve"> – такса за вътрешнобанков превод на заплати в лева /на хатриен носител/ – </w:t>
      </w:r>
      <w:r>
        <w:rPr>
          <w:rFonts w:ascii="Times New Roman" w:hAnsi="Times New Roman" w:cs="Times New Roman"/>
          <w:b/>
          <w:sz w:val="24"/>
          <w:szCs w:val="24"/>
        </w:rPr>
        <w:t>7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2.15. </w:t>
      </w:r>
      <w:r>
        <w:rPr>
          <w:rFonts w:ascii="Times New Roman" w:hAnsi="Times New Roman" w:cs="Times New Roman"/>
          <w:b/>
          <w:sz w:val="24"/>
          <w:szCs w:val="24"/>
        </w:rPr>
        <w:t>Пк15</w:t>
      </w:r>
      <w:r>
        <w:rPr>
          <w:rFonts w:ascii="Times New Roman" w:hAnsi="Times New Roman" w:cs="Times New Roman"/>
          <w:sz w:val="24"/>
          <w:szCs w:val="24"/>
        </w:rPr>
        <w:t xml:space="preserve"> – такса за вътрешнобанков превод на заплати в лева/ чрез електронен канал/ - </w:t>
      </w:r>
      <w:r>
        <w:rPr>
          <w:rFonts w:ascii="Times New Roman" w:hAnsi="Times New Roman" w:cs="Times New Roman"/>
          <w:b/>
          <w:sz w:val="24"/>
          <w:szCs w:val="24"/>
        </w:rPr>
        <w:t>12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2.16. </w:t>
      </w:r>
      <w:r>
        <w:rPr>
          <w:rFonts w:ascii="Times New Roman" w:hAnsi="Times New Roman" w:cs="Times New Roman"/>
          <w:b/>
          <w:sz w:val="24"/>
          <w:szCs w:val="24"/>
        </w:rPr>
        <w:t>Пк16</w:t>
      </w:r>
      <w:r>
        <w:rPr>
          <w:rFonts w:ascii="Times New Roman" w:hAnsi="Times New Roman" w:cs="Times New Roman"/>
          <w:sz w:val="24"/>
          <w:szCs w:val="24"/>
        </w:rPr>
        <w:t xml:space="preserve"> – такса електронно банкиране /независимо от броя на използваните сметки/ – </w:t>
      </w:r>
      <w:r>
        <w:rPr>
          <w:rFonts w:ascii="Times New Roman" w:hAnsi="Times New Roman" w:cs="Times New Roman"/>
          <w:b/>
          <w:sz w:val="24"/>
          <w:szCs w:val="24"/>
        </w:rPr>
        <w:t>8 точки</w:t>
      </w:r>
      <w:r>
        <w:rPr>
          <w:rFonts w:ascii="Times New Roman" w:hAnsi="Times New Roman" w:cs="Times New Roman"/>
          <w:sz w:val="24"/>
          <w:szCs w:val="24"/>
        </w:rPr>
        <w:t>;</w:t>
      </w:r>
    </w:p>
    <w:p w:rsidR="0086523F" w:rsidRDefault="0086523F" w:rsidP="0086523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2.17. </w:t>
      </w:r>
      <w:r>
        <w:rPr>
          <w:rFonts w:ascii="Times New Roman" w:hAnsi="Times New Roman" w:cs="Times New Roman"/>
          <w:b/>
          <w:sz w:val="24"/>
          <w:szCs w:val="24"/>
        </w:rPr>
        <w:t>Пк17</w:t>
      </w:r>
      <w:r>
        <w:rPr>
          <w:rFonts w:ascii="Times New Roman" w:hAnsi="Times New Roman" w:cs="Times New Roman"/>
          <w:sz w:val="24"/>
          <w:szCs w:val="24"/>
        </w:rPr>
        <w:t xml:space="preserve"> – годишен лихвен процент по месечен депозит в лева, формиращ се като функция /процент/ от СОФИБОР при потребност от ползване на тази услуга. /Очакваме в ценовата листа да бъде посочен процент от СОФИБОР, на базата на който да се определя лихвения процент по месечен депозит в лева при запитване от Възложителя в който и да е момент през едногодишния договор/  – </w:t>
      </w:r>
      <w:r>
        <w:rPr>
          <w:rFonts w:ascii="Times New Roman" w:hAnsi="Times New Roman" w:cs="Times New Roman"/>
          <w:b/>
          <w:sz w:val="24"/>
          <w:szCs w:val="24"/>
        </w:rPr>
        <w:t>13 точки</w:t>
      </w:r>
      <w:r>
        <w:rPr>
          <w:rFonts w:ascii="Times New Roman" w:hAnsi="Times New Roman" w:cs="Times New Roman"/>
          <w:sz w:val="24"/>
          <w:szCs w:val="24"/>
        </w:rPr>
        <w:t xml:space="preserve">. </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Максималнастойност на количествените показатели – </w:t>
      </w:r>
      <w:r>
        <w:rPr>
          <w:rFonts w:ascii="Times New Roman" w:hAnsi="Times New Roman" w:cs="Times New Roman"/>
          <w:b/>
          <w:sz w:val="24"/>
          <w:szCs w:val="24"/>
        </w:rPr>
        <w:t>150 точки</w:t>
      </w:r>
      <w:r>
        <w:rPr>
          <w:rFonts w:ascii="Times New Roman" w:hAnsi="Times New Roman" w:cs="Times New Roman"/>
          <w:sz w:val="24"/>
          <w:szCs w:val="24"/>
        </w:rPr>
        <w:t>.</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Точките са относими към разпоредбите посочени в чл.2.2.2 букви А и Б от Приложение № 3 към чл. 13 б,  ПМС 127/2013г.</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Най-високата оценка по всеки от показателите получава максимален брой точки. Всяка следваща оценка получава  една точка по-малко от предходната.</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След остойностяване на Комплексните оценки и подреждането им в низходящ ред, ще бъдат излъчени първите пет участника с най-високи оценки за сключване на едногодишни договори за банково обслужване на УМБАЛ „Св. Иван Рилски” ЕАД, гр. София.</w:t>
      </w:r>
    </w:p>
    <w:p w:rsidR="0086523F" w:rsidRDefault="0086523F" w:rsidP="0086523F">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3. Изисквания към кандидатите:</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Да бъде представена оферта за изпълнение на заявения в поканата предмет на услугата. Офертата е необходимо да съдържа: </w:t>
      </w:r>
    </w:p>
    <w:p w:rsidR="0086523F" w:rsidRDefault="0086523F" w:rsidP="0086523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3.1. Списък на документите в офертата </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3.2. Доказателства удостоверяващи актуално състояние или еквивалент. </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3.3. Копие на Лиценз на БНБ за извършване на  банкова дейност съгласно Закона за кредитните институции, включващ поне дейностите изброени с поредни номера от 1 до 11 към показател </w:t>
      </w:r>
      <w:r>
        <w:rPr>
          <w:rFonts w:ascii="Times New Roman" w:hAnsi="Times New Roman" w:cs="Times New Roman"/>
          <w:b/>
          <w:sz w:val="24"/>
          <w:szCs w:val="24"/>
        </w:rPr>
        <w:t xml:space="preserve">Пн1 в т.1 </w:t>
      </w:r>
      <w:r>
        <w:rPr>
          <w:rFonts w:ascii="Times New Roman" w:hAnsi="Times New Roman" w:cs="Times New Roman"/>
          <w:sz w:val="24"/>
          <w:szCs w:val="24"/>
        </w:rPr>
        <w:t>от настоящата покана.</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3.4. Ценово предложение – по образец;</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3.5. Декларация по чл. 47, ал.9, от Закона за обществени поръчки по образец</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Срок за представяне на оферти: до 16.30 часа на десетия работен ден от датата на публикуване на поканата – 05.10.2015г.</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Място за представяне на оферти: в деловодството на УМБАЛ „Св. Иван Рилски” ЕАД, гр. София, бул. „Акад. Иван Гешев” № 15.</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Отварянето на офертите ще се осъществи на 20.10.2015г. в сградата на болницата, от 9,00 часа</w:t>
      </w:r>
    </w:p>
    <w:p w:rsidR="0086523F" w:rsidRDefault="0086523F" w:rsidP="008652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Допълнителна информация и документация за участие свързани с поканата могат да бъдат получени на интернет адреса на болницата: www.rilski.com . За контакт : Недялко Стефанов тел. 0887238128.</w:t>
      </w:r>
    </w:p>
    <w:p w:rsidR="0086523F" w:rsidRDefault="0086523F" w:rsidP="0086523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Приложение:</w:t>
      </w:r>
    </w:p>
    <w:p w:rsidR="0086523F" w:rsidRDefault="0086523F" w:rsidP="0086523F">
      <w:pPr>
        <w:pStyle w:val="ListParagraph"/>
        <w:numPr>
          <w:ilvl w:val="0"/>
          <w:numId w:val="3"/>
        </w:num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Списък на документите</w:t>
      </w:r>
    </w:p>
    <w:p w:rsidR="0086523F" w:rsidRDefault="0086523F" w:rsidP="0086523F">
      <w:pPr>
        <w:pStyle w:val="ListParagraph"/>
        <w:numPr>
          <w:ilvl w:val="0"/>
          <w:numId w:val="3"/>
        </w:num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Декларация по чл. 47, ал.9, от Закона за обществени поръчки</w:t>
      </w:r>
    </w:p>
    <w:p w:rsidR="0086523F" w:rsidRDefault="0086523F" w:rsidP="0086523F">
      <w:pPr>
        <w:pStyle w:val="ListParagraph"/>
        <w:numPr>
          <w:ilvl w:val="0"/>
          <w:numId w:val="3"/>
        </w:num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Ценова оферта.</w:t>
      </w:r>
    </w:p>
    <w:p w:rsidR="0086523F" w:rsidRDefault="0086523F" w:rsidP="0086523F">
      <w:pPr>
        <w:rPr>
          <w:rFonts w:ascii="Times New Roman" w:hAnsi="Times New Roman" w:cs="Times New Roman"/>
          <w:sz w:val="24"/>
          <w:szCs w:val="24"/>
        </w:rPr>
      </w:pPr>
    </w:p>
    <w:p w:rsidR="0086523F" w:rsidRDefault="0086523F" w:rsidP="008652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ИЗПЪЛНИТЕЛЕН ДИРЕКТОР:</w:t>
      </w:r>
      <w:r w:rsidR="00720B17">
        <w:rPr>
          <w:rFonts w:ascii="Times New Roman" w:hAnsi="Times New Roman" w:cs="Times New Roman"/>
          <w:sz w:val="24"/>
          <w:szCs w:val="24"/>
        </w:rPr>
        <w:t xml:space="preserve"> (п)</w:t>
      </w:r>
    </w:p>
    <w:p w:rsidR="00EE79F6" w:rsidRDefault="0086523F">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Д-Р МАРИЕТА РАЙКОВА</w:t>
      </w:r>
    </w:p>
    <w:sectPr w:rsidR="00EE79F6" w:rsidSect="009D3E16">
      <w:pgSz w:w="11906" w:h="16838"/>
      <w:pgMar w:top="567" w:right="1133"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4E2B"/>
    <w:multiLevelType w:val="hybridMultilevel"/>
    <w:tmpl w:val="603AF62C"/>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nsid w:val="31C4794B"/>
    <w:multiLevelType w:val="hybridMultilevel"/>
    <w:tmpl w:val="A2120B26"/>
    <w:lvl w:ilvl="0" w:tplc="98768480">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C4000A5"/>
    <w:multiLevelType w:val="multilevel"/>
    <w:tmpl w:val="E2349B02"/>
    <w:lvl w:ilvl="0">
      <w:start w:val="1"/>
      <w:numFmt w:val="decimal"/>
      <w:lvlText w:val="%1."/>
      <w:lvlJc w:val="left"/>
      <w:pPr>
        <w:ind w:left="720" w:hanging="360"/>
      </w:pPr>
    </w:lvl>
    <w:lvl w:ilvl="1">
      <w:start w:val="2"/>
      <w:numFmt w:val="decimal"/>
      <w:isLgl/>
      <w:lvlText w:val="%1.%2."/>
      <w:lvlJc w:val="left"/>
      <w:pPr>
        <w:ind w:left="1353" w:hanging="360"/>
      </w:pPr>
      <w:rPr>
        <w:b/>
        <w:color w:val="auto"/>
        <w:sz w:val="24"/>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523F"/>
    <w:rsid w:val="002519B5"/>
    <w:rsid w:val="006A4DE4"/>
    <w:rsid w:val="00720B17"/>
    <w:rsid w:val="0086523F"/>
    <w:rsid w:val="009D3E16"/>
    <w:rsid w:val="00C64634"/>
    <w:rsid w:val="00EE79F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86523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semiHidden/>
    <w:rsid w:val="0086523F"/>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6523F"/>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17224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schetov3</cp:lastModifiedBy>
  <cp:revision>3</cp:revision>
  <dcterms:created xsi:type="dcterms:W3CDTF">2015-10-02T13:21:00Z</dcterms:created>
  <dcterms:modified xsi:type="dcterms:W3CDTF">2015-10-02T13:21:00Z</dcterms:modified>
</cp:coreProperties>
</file>