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A08" w:rsidRDefault="00785A08" w:rsidP="00B41349">
      <w:pPr>
        <w:spacing w:after="0" w:line="240" w:lineRule="auto"/>
        <w:jc w:val="center"/>
        <w:rPr>
          <w:rFonts w:ascii="Times New Roman" w:hAnsi="Times New Roman" w:cs="Times New Roman"/>
          <w:b/>
          <w:sz w:val="24"/>
          <w:szCs w:val="24"/>
          <w:lang w:val="en-US"/>
        </w:rPr>
      </w:pPr>
    </w:p>
    <w:p w:rsidR="00B41349" w:rsidRPr="00785A08" w:rsidRDefault="00785A08" w:rsidP="00B41349">
      <w:pPr>
        <w:spacing w:after="0" w:line="240" w:lineRule="auto"/>
        <w:jc w:val="center"/>
        <w:rPr>
          <w:rFonts w:ascii="Times New Roman" w:hAnsi="Times New Roman" w:cs="Times New Roman"/>
          <w:b/>
          <w:sz w:val="24"/>
          <w:szCs w:val="24"/>
        </w:rPr>
      </w:pPr>
      <w:r w:rsidRPr="00785A08">
        <w:rPr>
          <w:rFonts w:ascii="Times New Roman" w:hAnsi="Times New Roman" w:cs="Times New Roman"/>
          <w:b/>
          <w:sz w:val="24"/>
          <w:szCs w:val="24"/>
          <w:lang w:val="en-US"/>
        </w:rPr>
        <w:t xml:space="preserve">  </w:t>
      </w:r>
      <w:r w:rsidRPr="00785A08">
        <w:rPr>
          <w:rFonts w:ascii="Times New Roman" w:hAnsi="Times New Roman" w:cs="Times New Roman"/>
          <w:b/>
          <w:sz w:val="24"/>
          <w:szCs w:val="24"/>
        </w:rPr>
        <w:t xml:space="preserve">ТЕХНИЧЕСКО ПРЕДЛОЖЕНИЕ </w:t>
      </w:r>
    </w:p>
    <w:p w:rsidR="00785A08" w:rsidRDefault="00785A08" w:rsidP="00B41349">
      <w:pPr>
        <w:spacing w:after="0" w:line="240" w:lineRule="auto"/>
        <w:jc w:val="center"/>
        <w:rPr>
          <w:rFonts w:ascii="Times New Roman" w:hAnsi="Times New Roman" w:cs="Times New Roman"/>
          <w:b/>
          <w:sz w:val="24"/>
          <w:szCs w:val="24"/>
          <w:lang w:val="en-US"/>
        </w:rPr>
      </w:pPr>
    </w:p>
    <w:p w:rsidR="00785A08" w:rsidRPr="00785A08" w:rsidRDefault="00B41349" w:rsidP="00785A08">
      <w:pPr>
        <w:spacing w:after="0" w:line="240" w:lineRule="auto"/>
        <w:jc w:val="center"/>
        <w:rPr>
          <w:rFonts w:ascii="Times New Roman" w:eastAsia="Times New Roman" w:hAnsi="Times New Roman" w:cs="Times New Roman"/>
          <w:b/>
          <w:color w:val="000000"/>
          <w:sz w:val="24"/>
          <w:szCs w:val="24"/>
          <w:lang w:eastAsia="bg-BG" w:bidi="bg-BG"/>
        </w:rPr>
      </w:pPr>
      <w:r w:rsidRPr="00785A08">
        <w:rPr>
          <w:rFonts w:ascii="Times New Roman" w:hAnsi="Times New Roman" w:cs="Times New Roman"/>
          <w:b/>
          <w:sz w:val="24"/>
          <w:szCs w:val="24"/>
        </w:rPr>
        <w:t>въз основа на сключено Рамково споразумение</w:t>
      </w:r>
      <w:r w:rsidR="00785A08">
        <w:rPr>
          <w:rFonts w:ascii="Times New Roman" w:hAnsi="Times New Roman" w:cs="Times New Roman"/>
          <w:b/>
          <w:sz w:val="24"/>
          <w:szCs w:val="24"/>
          <w:lang w:val="en-US"/>
        </w:rPr>
        <w:t xml:space="preserve"> </w:t>
      </w:r>
      <w:r w:rsidR="009A7764" w:rsidRPr="00785A08">
        <w:rPr>
          <w:rFonts w:ascii="Times New Roman" w:eastAsia="Times New Roman" w:hAnsi="Times New Roman" w:cs="Times New Roman"/>
          <w:b/>
          <w:sz w:val="24"/>
          <w:szCs w:val="24"/>
          <w:lang w:eastAsia="bg-BG"/>
        </w:rPr>
        <w:t>№ СПОР</w:t>
      </w:r>
      <w:r w:rsidR="009A7764" w:rsidRPr="00785A08">
        <w:rPr>
          <w:rFonts w:ascii="Times New Roman" w:eastAsia="Times New Roman" w:hAnsi="Times New Roman" w:cs="Times New Roman"/>
          <w:sz w:val="24"/>
          <w:szCs w:val="24"/>
          <w:lang w:val="en-AU" w:eastAsia="bg-BG"/>
        </w:rPr>
        <w:t>-</w:t>
      </w:r>
      <w:r w:rsidR="009A7764" w:rsidRPr="00785A08">
        <w:rPr>
          <w:rFonts w:ascii="Times New Roman" w:eastAsia="Times New Roman" w:hAnsi="Times New Roman" w:cs="Times New Roman"/>
          <w:b/>
          <w:sz w:val="24"/>
          <w:szCs w:val="24"/>
          <w:lang w:val="en-AU" w:eastAsia="bg-BG"/>
        </w:rPr>
        <w:t>24/</w:t>
      </w:r>
      <w:r w:rsidR="009A7764" w:rsidRPr="00785A08">
        <w:rPr>
          <w:rFonts w:ascii="Times New Roman" w:eastAsia="Times New Roman" w:hAnsi="Times New Roman" w:cs="Times New Roman"/>
          <w:b/>
          <w:sz w:val="24"/>
          <w:szCs w:val="24"/>
          <w:lang w:val="en-US" w:eastAsia="bg-BG"/>
        </w:rPr>
        <w:t>2</w:t>
      </w:r>
      <w:r w:rsidR="009A7764" w:rsidRPr="00785A08">
        <w:rPr>
          <w:rFonts w:ascii="Times New Roman" w:eastAsia="Times New Roman" w:hAnsi="Times New Roman" w:cs="Times New Roman"/>
          <w:b/>
          <w:sz w:val="24"/>
          <w:szCs w:val="24"/>
          <w:lang w:val="en-AU" w:eastAsia="bg-BG"/>
        </w:rPr>
        <w:t>0.11.2019 г.</w:t>
      </w:r>
      <w:r w:rsidR="009A7764" w:rsidRPr="00785A08">
        <w:rPr>
          <w:rFonts w:ascii="Times New Roman" w:eastAsia="Times New Roman" w:hAnsi="Times New Roman" w:cs="Times New Roman"/>
          <w:b/>
          <w:sz w:val="24"/>
          <w:szCs w:val="24"/>
          <w:lang w:eastAsia="bg-BG"/>
        </w:rPr>
        <w:t>,</w:t>
      </w:r>
      <w:r w:rsidRPr="00785A08">
        <w:rPr>
          <w:rFonts w:ascii="Times New Roman" w:hAnsi="Times New Roman" w:cs="Times New Roman"/>
          <w:b/>
          <w:sz w:val="24"/>
          <w:szCs w:val="24"/>
        </w:rPr>
        <w:t xml:space="preserve"> с предмет</w:t>
      </w:r>
      <w:r w:rsidRPr="00785A08">
        <w:rPr>
          <w:rFonts w:ascii="Times New Roman" w:hAnsi="Times New Roman" w:cs="Times New Roman"/>
          <w:b/>
          <w:sz w:val="24"/>
          <w:szCs w:val="24"/>
          <w:lang w:val="en-US"/>
        </w:rPr>
        <w:t xml:space="preserve"> </w:t>
      </w:r>
      <w:r w:rsidR="00785A08">
        <w:rPr>
          <w:rFonts w:ascii="Times New Roman" w:hAnsi="Times New Roman" w:cs="Times New Roman"/>
          <w:b/>
          <w:sz w:val="24"/>
          <w:szCs w:val="24"/>
          <w:lang w:val="en-US"/>
        </w:rPr>
        <w:t xml:space="preserve"> </w:t>
      </w:r>
      <w:r w:rsidR="00785A08" w:rsidRPr="00785A08">
        <w:rPr>
          <w:rFonts w:ascii="Times New Roman" w:eastAsia="Calibri" w:hAnsi="Times New Roman" w:cs="Times New Roman"/>
          <w:b/>
          <w:bCs/>
          <w:color w:val="000000"/>
          <w:sz w:val="24"/>
          <w:szCs w:val="24"/>
          <w:lang w:bidi="bg-BG"/>
        </w:rPr>
        <w:t xml:space="preserve">„Доставка на компютри и периферни устройства за нуждите на </w:t>
      </w:r>
      <w:r w:rsidR="00785A08" w:rsidRPr="00785A08">
        <w:rPr>
          <w:rFonts w:ascii="Times New Roman" w:eastAsia="Times New Roman" w:hAnsi="Times New Roman" w:cs="Times New Roman"/>
          <w:b/>
          <w:color w:val="000000"/>
          <w:sz w:val="24"/>
          <w:szCs w:val="24"/>
          <w:lang w:eastAsia="bg-BG" w:bidi="bg-BG"/>
        </w:rPr>
        <w:t>органите на изпълнителната власт и техните администрации“</w:t>
      </w:r>
      <w:r w:rsidR="00E52937">
        <w:rPr>
          <w:rFonts w:ascii="Times New Roman" w:eastAsia="Calibri" w:hAnsi="Times New Roman" w:cs="Times New Roman"/>
          <w:b/>
          <w:bCs/>
          <w:color w:val="000000"/>
          <w:sz w:val="24"/>
          <w:szCs w:val="24"/>
          <w:lang w:bidi="bg-BG"/>
        </w:rPr>
        <w:t xml:space="preserve">, обособена позиция № 2: </w:t>
      </w:r>
      <w:r w:rsidR="00E52937" w:rsidRPr="00E52937">
        <w:rPr>
          <w:rFonts w:ascii="Times New Roman" w:eastAsia="Calibri" w:hAnsi="Times New Roman" w:cs="Times New Roman"/>
          <w:b/>
          <w:bCs/>
          <w:color w:val="000000"/>
          <w:sz w:val="24"/>
          <w:szCs w:val="24"/>
          <w:lang w:bidi="bg-BG"/>
        </w:rPr>
        <w:t>„Доставка на преносими компютри за нуждите на Министерството на здравеопазването и второстепенните разпоредители с бюджет за изпълнение на функциите по здравен контрол”</w:t>
      </w:r>
    </w:p>
    <w:p w:rsidR="00B41349" w:rsidRDefault="00B41349" w:rsidP="00B41349">
      <w:pPr>
        <w:rPr>
          <w:rFonts w:ascii="Times New Roman" w:hAnsi="Times New Roman" w:cs="Times New Roman"/>
          <w:b/>
          <w:sz w:val="28"/>
          <w:szCs w:val="28"/>
        </w:rPr>
      </w:pPr>
    </w:p>
    <w:tbl>
      <w:tblPr>
        <w:tblStyle w:val="TableGrid"/>
        <w:tblW w:w="0" w:type="auto"/>
        <w:tblInd w:w="4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82"/>
        <w:gridCol w:w="3431"/>
        <w:gridCol w:w="3429"/>
        <w:gridCol w:w="3136"/>
      </w:tblGrid>
      <w:tr w:rsidR="00654983" w:rsidTr="00CD07FD">
        <w:tc>
          <w:tcPr>
            <w:tcW w:w="2982" w:type="dxa"/>
            <w:shd w:val="clear" w:color="auto" w:fill="E7E6E6" w:themeFill="background2"/>
          </w:tcPr>
          <w:p w:rsidR="00654983" w:rsidRDefault="00654983" w:rsidP="00CD07FD">
            <w:r w:rsidRPr="005D0AA7">
              <w:rPr>
                <w:rFonts w:ascii="Times New Roman" w:eastAsia="Times New Roman" w:hAnsi="Times New Roman" w:cs="Times New Roman"/>
                <w:b/>
                <w:bCs/>
                <w:color w:val="000000"/>
                <w:sz w:val="24"/>
                <w:szCs w:val="24"/>
                <w:lang w:eastAsia="bg-BG"/>
              </w:rPr>
              <w:t>Устройство</w:t>
            </w:r>
          </w:p>
        </w:tc>
        <w:tc>
          <w:tcPr>
            <w:tcW w:w="3431" w:type="dxa"/>
            <w:shd w:val="clear" w:color="auto" w:fill="E7E6E6" w:themeFill="background2"/>
          </w:tcPr>
          <w:p w:rsidR="00654983" w:rsidRPr="00654983" w:rsidRDefault="00654983" w:rsidP="00CD07FD">
            <w:pPr>
              <w:rPr>
                <w:rFonts w:ascii="Times New Roman" w:hAnsi="Times New Roman" w:cs="Times New Roman"/>
                <w:b/>
                <w:sz w:val="24"/>
                <w:szCs w:val="24"/>
              </w:rPr>
            </w:pPr>
            <w:r w:rsidRPr="00DD6A54">
              <w:rPr>
                <w:rFonts w:ascii="Times New Roman" w:hAnsi="Times New Roman" w:cs="Times New Roman"/>
                <w:b/>
                <w:sz w:val="24"/>
                <w:szCs w:val="24"/>
              </w:rPr>
              <w:t>Марка:</w:t>
            </w:r>
          </w:p>
        </w:tc>
        <w:tc>
          <w:tcPr>
            <w:tcW w:w="3429" w:type="dxa"/>
            <w:shd w:val="clear" w:color="auto" w:fill="E7E6E6" w:themeFill="background2"/>
          </w:tcPr>
          <w:p w:rsidR="00654983" w:rsidRPr="00654983" w:rsidRDefault="00654983" w:rsidP="00CD07FD">
            <w:pPr>
              <w:rPr>
                <w:rFonts w:ascii="Times New Roman" w:hAnsi="Times New Roman" w:cs="Times New Roman"/>
                <w:b/>
                <w:sz w:val="24"/>
                <w:szCs w:val="24"/>
              </w:rPr>
            </w:pPr>
            <w:r>
              <w:rPr>
                <w:rFonts w:ascii="Times New Roman" w:hAnsi="Times New Roman" w:cs="Times New Roman"/>
                <w:b/>
                <w:sz w:val="24"/>
                <w:szCs w:val="24"/>
              </w:rPr>
              <w:t>Модел:</w:t>
            </w:r>
          </w:p>
        </w:tc>
        <w:tc>
          <w:tcPr>
            <w:tcW w:w="3136" w:type="dxa"/>
            <w:shd w:val="clear" w:color="auto" w:fill="E7E6E6" w:themeFill="background2"/>
          </w:tcPr>
          <w:p w:rsidR="00654983" w:rsidRPr="00654983" w:rsidRDefault="00654983" w:rsidP="00CD07FD">
            <w:pPr>
              <w:rPr>
                <w:rFonts w:ascii="Times New Roman" w:hAnsi="Times New Roman" w:cs="Times New Roman"/>
                <w:b/>
                <w:sz w:val="24"/>
                <w:szCs w:val="24"/>
              </w:rPr>
            </w:pPr>
            <w:r w:rsidRPr="00DD6A54">
              <w:rPr>
                <w:rFonts w:ascii="Times New Roman" w:hAnsi="Times New Roman" w:cs="Times New Roman"/>
                <w:b/>
                <w:sz w:val="24"/>
                <w:szCs w:val="24"/>
              </w:rPr>
              <w:t>Продуктов номер:</w:t>
            </w:r>
          </w:p>
        </w:tc>
      </w:tr>
      <w:tr w:rsidR="00654983" w:rsidTr="00CD07FD">
        <w:tc>
          <w:tcPr>
            <w:tcW w:w="2982" w:type="dxa"/>
          </w:tcPr>
          <w:p w:rsidR="00D16C21" w:rsidRDefault="00D16C21" w:rsidP="00D16C21">
            <w:pPr>
              <w:rPr>
                <w:rFonts w:ascii="Times New Roman" w:eastAsia="Times New Roman" w:hAnsi="Times New Roman" w:cs="Times New Roman"/>
                <w:b/>
                <w:color w:val="000000"/>
                <w:sz w:val="24"/>
                <w:szCs w:val="24"/>
                <w:lang w:val="en-AU" w:eastAsia="bg-BG"/>
              </w:rPr>
            </w:pPr>
            <w:r>
              <w:rPr>
                <w:rFonts w:ascii="Times New Roman" w:eastAsia="Times New Roman" w:hAnsi="Times New Roman" w:cs="Times New Roman"/>
                <w:b/>
                <w:color w:val="000000"/>
                <w:sz w:val="24"/>
                <w:szCs w:val="24"/>
                <w:lang w:val="en-AU" w:eastAsia="bg-BG"/>
              </w:rPr>
              <w:t>[КПУ-2.2</w:t>
            </w:r>
            <w:r w:rsidRPr="00BB193B">
              <w:rPr>
                <w:rFonts w:ascii="Times New Roman" w:eastAsia="Times New Roman" w:hAnsi="Times New Roman" w:cs="Times New Roman"/>
                <w:b/>
                <w:color w:val="000000"/>
                <w:sz w:val="24"/>
                <w:szCs w:val="24"/>
                <w:lang w:val="en-AU" w:eastAsia="bg-BG"/>
              </w:rPr>
              <w:t>]</w:t>
            </w:r>
          </w:p>
          <w:p w:rsidR="00654983" w:rsidRDefault="00D16C21" w:rsidP="00D16C21">
            <w:r w:rsidRPr="00BB193B">
              <w:rPr>
                <w:rFonts w:ascii="Times New Roman" w:eastAsia="Times New Roman" w:hAnsi="Times New Roman" w:cs="Times New Roman"/>
                <w:b/>
                <w:color w:val="000000"/>
                <w:sz w:val="24"/>
                <w:szCs w:val="24"/>
                <w:lang w:val="en-AU" w:eastAsia="bg-BG"/>
              </w:rPr>
              <w:t xml:space="preserve">Преносим компютър </w:t>
            </w:r>
            <w:r w:rsidRPr="00BB193B">
              <w:rPr>
                <w:rFonts w:ascii="Times New Roman" w:eastAsia="Times New Roman" w:hAnsi="Times New Roman" w:cs="Times New Roman"/>
                <w:b/>
                <w:color w:val="000000"/>
                <w:sz w:val="24"/>
                <w:szCs w:val="24"/>
                <w:lang w:val="en-US" w:eastAsia="bg-BG"/>
              </w:rPr>
              <w:t xml:space="preserve">II </w:t>
            </w:r>
            <w:r w:rsidRPr="00BB193B">
              <w:rPr>
                <w:rFonts w:ascii="Times New Roman" w:eastAsia="Times New Roman" w:hAnsi="Times New Roman" w:cs="Times New Roman"/>
                <w:b/>
                <w:color w:val="000000"/>
                <w:sz w:val="24"/>
                <w:szCs w:val="24"/>
                <w:lang w:eastAsia="bg-BG"/>
              </w:rPr>
              <w:t>вид</w:t>
            </w:r>
          </w:p>
        </w:tc>
        <w:tc>
          <w:tcPr>
            <w:tcW w:w="3431" w:type="dxa"/>
          </w:tcPr>
          <w:p w:rsidR="00654983" w:rsidRDefault="00654983" w:rsidP="00CD07FD"/>
        </w:tc>
        <w:tc>
          <w:tcPr>
            <w:tcW w:w="3429" w:type="dxa"/>
          </w:tcPr>
          <w:p w:rsidR="00654983" w:rsidRDefault="00654983" w:rsidP="00CD07FD"/>
        </w:tc>
        <w:tc>
          <w:tcPr>
            <w:tcW w:w="3136" w:type="dxa"/>
          </w:tcPr>
          <w:p w:rsidR="00654983" w:rsidRDefault="00654983" w:rsidP="00CD07FD"/>
        </w:tc>
      </w:tr>
    </w:tbl>
    <w:p w:rsidR="00345C68" w:rsidRPr="00DD6A54" w:rsidRDefault="00345C68" w:rsidP="00DD6A54">
      <w:pPr>
        <w:rPr>
          <w:rFonts w:ascii="Times New Roman" w:hAnsi="Times New Roman" w:cs="Times New Roman"/>
          <w:b/>
          <w:sz w:val="24"/>
          <w:szCs w:val="24"/>
        </w:rPr>
      </w:pPr>
    </w:p>
    <w:tbl>
      <w:tblPr>
        <w:tblW w:w="14544" w:type="dxa"/>
        <w:tblInd w:w="-29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545"/>
        <w:gridCol w:w="2590"/>
        <w:gridCol w:w="5307"/>
        <w:gridCol w:w="5102"/>
      </w:tblGrid>
      <w:tr w:rsidR="003E7AC6" w:rsidRPr="00BB193B" w:rsidTr="00CD4B84">
        <w:trPr>
          <w:trHeight w:val="330"/>
          <w:tblHeader/>
        </w:trPr>
        <w:tc>
          <w:tcPr>
            <w:tcW w:w="1545" w:type="dxa"/>
            <w:tcBorders>
              <w:top w:val="double" w:sz="4" w:space="0" w:color="auto"/>
              <w:bottom w:val="single" w:sz="4" w:space="0" w:color="auto"/>
            </w:tcBorders>
            <w:shd w:val="clear" w:color="000000" w:fill="F2F2F2"/>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eastAsia="bg-BG"/>
              </w:rPr>
            </w:pPr>
            <w:bookmarkStart w:id="0" w:name="RANGE!A1:C91"/>
            <w:bookmarkEnd w:id="0"/>
            <w:r w:rsidRPr="00BB193B">
              <w:rPr>
                <w:rFonts w:ascii="Times New Roman" w:eastAsia="Times New Roman" w:hAnsi="Times New Roman" w:cs="Times New Roman"/>
                <w:b/>
                <w:color w:val="000000"/>
                <w:sz w:val="24"/>
                <w:szCs w:val="24"/>
                <w:lang w:eastAsia="bg-BG"/>
              </w:rPr>
              <w:t>Устройство</w:t>
            </w:r>
          </w:p>
        </w:tc>
        <w:tc>
          <w:tcPr>
            <w:tcW w:w="2590" w:type="dxa"/>
            <w:tcBorders>
              <w:top w:val="double" w:sz="4" w:space="0" w:color="auto"/>
              <w:bottom w:val="single" w:sz="4" w:space="0" w:color="auto"/>
            </w:tcBorders>
            <w:shd w:val="clear" w:color="000000" w:fill="F2F2F2"/>
            <w:vAlign w:val="center"/>
            <w:hideMark/>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eastAsia="bg-BG"/>
              </w:rPr>
            </w:pPr>
            <w:r w:rsidRPr="00BB193B">
              <w:rPr>
                <w:rFonts w:ascii="Times New Roman" w:eastAsia="Times New Roman" w:hAnsi="Times New Roman" w:cs="Times New Roman"/>
                <w:b/>
                <w:color w:val="000000"/>
                <w:sz w:val="24"/>
                <w:szCs w:val="24"/>
                <w:lang w:val="en-AU" w:eastAsia="bg-BG"/>
              </w:rPr>
              <w:t>Показател</w:t>
            </w:r>
          </w:p>
        </w:tc>
        <w:tc>
          <w:tcPr>
            <w:tcW w:w="5307" w:type="dxa"/>
            <w:tcBorders>
              <w:top w:val="double" w:sz="4" w:space="0" w:color="auto"/>
              <w:bottom w:val="single" w:sz="4" w:space="0" w:color="auto"/>
              <w:right w:val="double" w:sz="4" w:space="0" w:color="auto"/>
            </w:tcBorders>
            <w:shd w:val="clear" w:color="000000" w:fill="F2F2F2"/>
            <w:vAlign w:val="center"/>
            <w:hideMark/>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eastAsia="bg-BG"/>
              </w:rPr>
            </w:pPr>
            <w:r w:rsidRPr="00BB193B">
              <w:rPr>
                <w:rFonts w:ascii="Times New Roman" w:eastAsia="Times New Roman" w:hAnsi="Times New Roman" w:cs="Times New Roman"/>
                <w:b/>
                <w:color w:val="000000"/>
                <w:sz w:val="24"/>
                <w:szCs w:val="24"/>
                <w:lang w:val="en-AU" w:eastAsia="bg-BG"/>
              </w:rPr>
              <w:t>Минимални изисквания</w:t>
            </w:r>
          </w:p>
        </w:tc>
        <w:tc>
          <w:tcPr>
            <w:tcW w:w="5102" w:type="dxa"/>
            <w:tcBorders>
              <w:top w:val="double" w:sz="4" w:space="0" w:color="auto"/>
              <w:left w:val="double" w:sz="4" w:space="0" w:color="auto"/>
              <w:bottom w:val="single" w:sz="4" w:space="0" w:color="auto"/>
            </w:tcBorders>
            <w:shd w:val="clear" w:color="000000" w:fill="F2F2F2"/>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r>
              <w:rPr>
                <w:rFonts w:ascii="Times New Roman" w:eastAsia="Times New Roman" w:hAnsi="Times New Roman" w:cs="Times New Roman"/>
                <w:b/>
                <w:bCs/>
                <w:color w:val="000000"/>
                <w:sz w:val="24"/>
                <w:szCs w:val="24"/>
                <w:lang w:eastAsia="bg-BG"/>
              </w:rPr>
              <w:t>Предложение на изпълнителя по рамковото споразумение</w:t>
            </w:r>
          </w:p>
        </w:tc>
      </w:tr>
      <w:tr w:rsidR="003E7AC6" w:rsidRPr="00BB193B" w:rsidTr="00CD4B84">
        <w:trPr>
          <w:trHeight w:val="500"/>
        </w:trPr>
        <w:tc>
          <w:tcPr>
            <w:tcW w:w="1545" w:type="dxa"/>
            <w:vMerge w:val="restart"/>
            <w:vAlign w:val="center"/>
          </w:tcPr>
          <w:p w:rsidR="003E7AC6" w:rsidRPr="00A747F7" w:rsidRDefault="003E7AC6" w:rsidP="00E664F7">
            <w:pPr>
              <w:spacing w:after="0" w:line="240" w:lineRule="auto"/>
              <w:rPr>
                <w:rFonts w:ascii="Times New Roman" w:eastAsia="Times New Roman" w:hAnsi="Times New Roman" w:cs="Times New Roman"/>
                <w:b/>
                <w:color w:val="000000"/>
                <w:sz w:val="24"/>
                <w:szCs w:val="24"/>
                <w:lang w:val="en-AU" w:eastAsia="bg-BG"/>
              </w:rPr>
            </w:pPr>
            <w:r>
              <w:rPr>
                <w:rFonts w:ascii="Times New Roman" w:eastAsia="Times New Roman" w:hAnsi="Times New Roman" w:cs="Times New Roman"/>
                <w:b/>
                <w:color w:val="000000"/>
                <w:sz w:val="24"/>
                <w:szCs w:val="24"/>
                <w:lang w:val="en-AU" w:eastAsia="bg-BG"/>
              </w:rPr>
              <w:t>[</w:t>
            </w:r>
            <w:r w:rsidRPr="00A747F7">
              <w:rPr>
                <w:rFonts w:ascii="Times New Roman" w:eastAsia="Times New Roman" w:hAnsi="Times New Roman" w:cs="Times New Roman"/>
                <w:b/>
                <w:color w:val="000000"/>
                <w:sz w:val="24"/>
                <w:szCs w:val="24"/>
                <w:lang w:val="en-AU" w:eastAsia="bg-BG"/>
              </w:rPr>
              <w:t>КПУ-2.2]</w:t>
            </w:r>
          </w:p>
          <w:p w:rsidR="003E7AC6" w:rsidRPr="00200499" w:rsidRDefault="003E7AC6" w:rsidP="00BC2C6F">
            <w:pPr>
              <w:spacing w:after="0" w:line="240" w:lineRule="auto"/>
              <w:rPr>
                <w:rFonts w:ascii="Times New Roman" w:eastAsia="Times New Roman" w:hAnsi="Times New Roman" w:cs="Times New Roman"/>
                <w:b/>
                <w:color w:val="000000"/>
                <w:sz w:val="24"/>
                <w:szCs w:val="24"/>
                <w:lang w:eastAsia="bg-BG"/>
              </w:rPr>
            </w:pPr>
            <w:r w:rsidRPr="00A747F7">
              <w:rPr>
                <w:rFonts w:ascii="Times New Roman" w:eastAsia="Times New Roman" w:hAnsi="Times New Roman" w:cs="Times New Roman"/>
                <w:b/>
                <w:color w:val="000000"/>
                <w:sz w:val="24"/>
                <w:szCs w:val="24"/>
                <w:lang w:val="en-AU" w:eastAsia="bg-BG"/>
              </w:rPr>
              <w:t xml:space="preserve">Преносим компютър </w:t>
            </w:r>
            <w:r w:rsidRPr="00A747F7">
              <w:rPr>
                <w:rFonts w:ascii="Times New Roman" w:eastAsia="Times New Roman" w:hAnsi="Times New Roman" w:cs="Times New Roman"/>
                <w:b/>
                <w:color w:val="000000"/>
                <w:sz w:val="24"/>
                <w:szCs w:val="24"/>
                <w:lang w:val="en-US" w:eastAsia="bg-BG"/>
              </w:rPr>
              <w:t xml:space="preserve">II </w:t>
            </w:r>
            <w:r w:rsidRPr="00A747F7">
              <w:rPr>
                <w:rFonts w:ascii="Times New Roman" w:eastAsia="Times New Roman" w:hAnsi="Times New Roman" w:cs="Times New Roman"/>
                <w:b/>
                <w:color w:val="000000"/>
                <w:sz w:val="24"/>
                <w:szCs w:val="24"/>
                <w:lang w:eastAsia="bg-BG"/>
              </w:rPr>
              <w:t>вид</w:t>
            </w:r>
            <w:r w:rsidR="00226BB6" w:rsidRPr="00A747F7">
              <w:rPr>
                <w:rFonts w:ascii="Times New Roman" w:eastAsia="Times New Roman" w:hAnsi="Times New Roman" w:cs="Times New Roman"/>
                <w:b/>
                <w:color w:val="000000"/>
                <w:sz w:val="24"/>
                <w:szCs w:val="24"/>
                <w:lang w:val="en-US" w:eastAsia="bg-BG"/>
              </w:rPr>
              <w:t xml:space="preserve"> – </w:t>
            </w:r>
            <w:r w:rsidR="00BC390C" w:rsidRPr="00A747F7">
              <w:rPr>
                <w:rFonts w:ascii="Times New Roman" w:eastAsia="Times New Roman" w:hAnsi="Times New Roman" w:cs="Times New Roman"/>
                <w:b/>
                <w:color w:val="000000"/>
                <w:sz w:val="24"/>
                <w:szCs w:val="24"/>
                <w:lang w:eastAsia="bg-BG"/>
              </w:rPr>
              <w:t>76</w:t>
            </w:r>
            <w:r w:rsidR="00200499" w:rsidRPr="00A747F7">
              <w:rPr>
                <w:rFonts w:ascii="Times New Roman" w:eastAsia="Times New Roman" w:hAnsi="Times New Roman" w:cs="Times New Roman"/>
                <w:b/>
                <w:color w:val="000000"/>
                <w:sz w:val="24"/>
                <w:szCs w:val="24"/>
                <w:lang w:val="en-US" w:eastAsia="bg-BG"/>
              </w:rPr>
              <w:t xml:space="preserve"> </w:t>
            </w:r>
            <w:r w:rsidR="00200499" w:rsidRPr="00A747F7">
              <w:rPr>
                <w:rFonts w:ascii="Times New Roman" w:eastAsia="Times New Roman" w:hAnsi="Times New Roman" w:cs="Times New Roman"/>
                <w:b/>
                <w:color w:val="000000"/>
                <w:sz w:val="24"/>
                <w:szCs w:val="24"/>
                <w:lang w:eastAsia="bg-BG"/>
              </w:rPr>
              <w:t>броя</w:t>
            </w:r>
            <w:bookmarkStart w:id="1" w:name="_GoBack"/>
            <w:bookmarkEnd w:id="1"/>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Процесор</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Calibri" w:hAnsi="Times New Roman" w:cs="Times New Roman"/>
                <w:sz w:val="24"/>
                <w:szCs w:val="24"/>
              </w:rPr>
              <w:t xml:space="preserve">Не по-малко от 4 физически ядра, с честота не по-малко от 2,7 </w:t>
            </w:r>
            <w:r w:rsidRPr="00BB193B">
              <w:rPr>
                <w:rFonts w:ascii="Times New Roman" w:eastAsia="Calibri" w:hAnsi="Times New Roman" w:cs="Times New Roman"/>
                <w:sz w:val="24"/>
                <w:szCs w:val="24"/>
                <w:lang w:val="en-GB"/>
              </w:rPr>
              <w:t xml:space="preserve">GHz, </w:t>
            </w:r>
            <w:r w:rsidRPr="00BB193B">
              <w:rPr>
                <w:rFonts w:ascii="Times New Roman" w:eastAsia="Calibri" w:hAnsi="Times New Roman" w:cs="Times New Roman"/>
                <w:sz w:val="24"/>
                <w:szCs w:val="24"/>
              </w:rPr>
              <w:t>не по-малко от 6 MB Cache или еквивалентен</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Calibri" w:hAnsi="Times New Roman" w:cs="Times New Roman"/>
                <w:sz w:val="24"/>
                <w:szCs w:val="24"/>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Оперативна памет</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sz w:val="24"/>
                <w:szCs w:val="24"/>
                <w:lang w:eastAsia="bg-BG"/>
              </w:rPr>
              <w:t>16</w:t>
            </w:r>
            <w:r w:rsidRPr="00BB193B">
              <w:rPr>
                <w:rFonts w:ascii="Times New Roman" w:eastAsia="Times New Roman" w:hAnsi="Times New Roman" w:cs="Times New Roman"/>
                <w:sz w:val="24"/>
                <w:szCs w:val="24"/>
                <w:lang w:val="en-US" w:eastAsia="bg-BG"/>
              </w:rPr>
              <w:t xml:space="preserve"> </w:t>
            </w:r>
            <w:r w:rsidRPr="00BB193B">
              <w:rPr>
                <w:rFonts w:ascii="Times New Roman" w:eastAsia="Times New Roman" w:hAnsi="Times New Roman" w:cs="Times New Roman"/>
                <w:sz w:val="24"/>
                <w:szCs w:val="24"/>
                <w:lang w:eastAsia="bg-BG"/>
              </w:rPr>
              <w:t>GB DDR4</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sz w:val="24"/>
                <w:szCs w:val="24"/>
                <w:lang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Екран</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Резолюция 1920</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1080</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US" w:eastAsia="bg-BG"/>
              </w:rPr>
              <w:t>(Full HD)</w:t>
            </w:r>
            <w:r w:rsidRPr="00BB193B">
              <w:rPr>
                <w:rFonts w:ascii="Times New Roman" w:eastAsia="Times New Roman" w:hAnsi="Times New Roman" w:cs="Times New Roman"/>
                <w:color w:val="000000"/>
                <w:sz w:val="24"/>
                <w:szCs w:val="24"/>
                <w:lang w:val="en-AU" w:eastAsia="bg-BG"/>
              </w:rPr>
              <w:t xml:space="preserve">, </w:t>
            </w:r>
            <w:r w:rsidRPr="00BB193B">
              <w:rPr>
                <w:rFonts w:ascii="Times New Roman" w:eastAsia="Times New Roman" w:hAnsi="Times New Roman" w:cs="Times New Roman"/>
                <w:color w:val="000000"/>
                <w:sz w:val="24"/>
                <w:szCs w:val="24"/>
                <w:lang w:eastAsia="bg-BG"/>
              </w:rPr>
              <w:t>матов, защитен от отблясъци</w:t>
            </w:r>
            <w:r w:rsidRPr="00BB193B">
              <w:rPr>
                <w:rFonts w:ascii="Times New Roman" w:eastAsia="Times New Roman" w:hAnsi="Times New Roman" w:cs="Times New Roman"/>
                <w:color w:val="000000"/>
                <w:sz w:val="24"/>
                <w:szCs w:val="24"/>
                <w:lang w:val="en-AU" w:eastAsia="bg-BG"/>
              </w:rPr>
              <w:t xml:space="preserve">, диагонал на дисплея – </w:t>
            </w:r>
            <w:r w:rsidRPr="00BB193B">
              <w:rPr>
                <w:rFonts w:ascii="Times New Roman" w:eastAsia="Times New Roman" w:hAnsi="Times New Roman" w:cs="Times New Roman"/>
                <w:color w:val="000000"/>
                <w:sz w:val="24"/>
                <w:szCs w:val="24"/>
                <w:lang w:eastAsia="bg-BG"/>
              </w:rPr>
              <w:t>15,6“</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Твърд</w:t>
            </w:r>
            <w:r w:rsidRPr="00BB193B">
              <w:rPr>
                <w:rFonts w:ascii="Times New Roman" w:eastAsia="Times New Roman" w:hAnsi="Times New Roman" w:cs="Times New Roman"/>
                <w:color w:val="000000"/>
                <w:sz w:val="24"/>
                <w:szCs w:val="24"/>
                <w:lang w:eastAsia="bg-BG"/>
              </w:rPr>
              <w:t>и</w:t>
            </w:r>
            <w:r w:rsidRPr="00BB193B">
              <w:rPr>
                <w:rFonts w:ascii="Times New Roman" w:eastAsia="Times New Roman" w:hAnsi="Times New Roman" w:cs="Times New Roman"/>
                <w:color w:val="000000"/>
                <w:sz w:val="24"/>
                <w:szCs w:val="24"/>
                <w:lang w:val="en-AU" w:eastAsia="bg-BG"/>
              </w:rPr>
              <w:t xml:space="preserve"> диск</w:t>
            </w:r>
            <w:r w:rsidRPr="00BB193B">
              <w:rPr>
                <w:rFonts w:ascii="Times New Roman" w:eastAsia="Times New Roman" w:hAnsi="Times New Roman" w:cs="Times New Roman"/>
                <w:color w:val="000000"/>
                <w:sz w:val="24"/>
                <w:szCs w:val="24"/>
                <w:lang w:eastAsia="bg-BG"/>
              </w:rPr>
              <w:t>ове</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 xml:space="preserve">1 брой 128 </w:t>
            </w:r>
            <w:r w:rsidRPr="00BB193B">
              <w:rPr>
                <w:rFonts w:ascii="Times New Roman" w:eastAsia="Times New Roman" w:hAnsi="Times New Roman" w:cs="Times New Roman"/>
                <w:color w:val="000000"/>
                <w:sz w:val="24"/>
                <w:szCs w:val="24"/>
                <w:lang w:val="en-US" w:eastAsia="bg-BG"/>
              </w:rPr>
              <w:t>GB SSD</w:t>
            </w:r>
            <w:r w:rsidRPr="00BB193B">
              <w:rPr>
                <w:rFonts w:ascii="Times New Roman" w:eastAsia="Times New Roman" w:hAnsi="Times New Roman" w:cs="Times New Roman"/>
                <w:color w:val="000000"/>
                <w:sz w:val="24"/>
                <w:szCs w:val="24"/>
                <w:lang w:eastAsia="bg-BG"/>
              </w:rPr>
              <w:t>;</w:t>
            </w:r>
          </w:p>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US" w:eastAsia="bg-BG"/>
              </w:rPr>
            </w:pPr>
            <w:r w:rsidRPr="00BB193B">
              <w:rPr>
                <w:rFonts w:ascii="Times New Roman" w:eastAsia="Times New Roman" w:hAnsi="Times New Roman" w:cs="Times New Roman"/>
                <w:color w:val="000000"/>
                <w:sz w:val="24"/>
                <w:szCs w:val="24"/>
                <w:lang w:eastAsia="bg-BG"/>
              </w:rPr>
              <w:t xml:space="preserve">1 брой 1 </w:t>
            </w:r>
            <w:r w:rsidRPr="00BB193B">
              <w:rPr>
                <w:rFonts w:ascii="Times New Roman" w:eastAsia="Times New Roman" w:hAnsi="Times New Roman" w:cs="Times New Roman"/>
                <w:color w:val="000000"/>
                <w:sz w:val="24"/>
                <w:szCs w:val="24"/>
                <w:lang w:val="en-US" w:eastAsia="bg-BG"/>
              </w:rPr>
              <w:t>TB SATA</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val="en-AU" w:eastAsia="bg-BG"/>
              </w:rPr>
            </w:pPr>
            <w:r w:rsidRPr="00BB193B">
              <w:rPr>
                <w:rFonts w:ascii="Times New Roman" w:eastAsia="Times New Roman" w:hAnsi="Times New Roman" w:cs="Times New Roman"/>
                <w:color w:val="000000"/>
                <w:sz w:val="24"/>
                <w:szCs w:val="24"/>
                <w:lang w:val="en-AU" w:eastAsia="bg-BG"/>
              </w:rPr>
              <w:t>BIOS</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r w:rsidRPr="00BB193B">
              <w:rPr>
                <w:rFonts w:ascii="Times New Roman" w:eastAsia="Times New Roman" w:hAnsi="Times New Roman" w:cs="Times New Roman"/>
                <w:color w:val="000000"/>
                <w:sz w:val="24"/>
                <w:szCs w:val="24"/>
                <w:lang w:val="en-AU" w:eastAsia="bg-BG"/>
              </w:rPr>
              <w:t>UEFI</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Видео карта</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US" w:eastAsia="bg-BG"/>
              </w:rPr>
            </w:pPr>
            <w:r w:rsidRPr="00BB193B">
              <w:rPr>
                <w:rFonts w:ascii="Times New Roman" w:eastAsia="Times New Roman" w:hAnsi="Times New Roman" w:cs="Times New Roman"/>
                <w:color w:val="000000"/>
                <w:sz w:val="24"/>
                <w:szCs w:val="24"/>
                <w:lang w:val="en-AU" w:eastAsia="bg-BG"/>
              </w:rPr>
              <w:t>4 GB DDR</w:t>
            </w:r>
            <w:r w:rsidRPr="00BB193B">
              <w:rPr>
                <w:rFonts w:ascii="Times New Roman" w:eastAsia="Times New Roman" w:hAnsi="Times New Roman" w:cs="Times New Roman"/>
                <w:color w:val="000000"/>
                <w:sz w:val="24"/>
                <w:szCs w:val="24"/>
                <w:lang w:eastAsia="bg-BG"/>
              </w:rPr>
              <w:t xml:space="preserve">3, интерфейс на паметта 128 </w:t>
            </w:r>
            <w:r w:rsidRPr="00BB193B">
              <w:rPr>
                <w:rFonts w:ascii="Times New Roman" w:eastAsia="Times New Roman" w:hAnsi="Times New Roman" w:cs="Times New Roman"/>
                <w:color w:val="000000"/>
                <w:sz w:val="24"/>
                <w:szCs w:val="24"/>
                <w:lang w:val="en-US" w:eastAsia="bg-BG"/>
              </w:rPr>
              <w:t>bit, DirectX 12</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US" w:eastAsia="bg-BG"/>
              </w:rPr>
              <w:t>OpenGL 4.5</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 xml:space="preserve">Оптично устройство </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DVD+/-RW; Double Layer</w:t>
            </w:r>
            <w:r w:rsidRPr="00BB193B">
              <w:rPr>
                <w:rFonts w:ascii="Times New Roman" w:eastAsia="Times New Roman" w:hAnsi="Times New Roman" w:cs="Times New Roman"/>
                <w:color w:val="000000"/>
                <w:sz w:val="24"/>
                <w:szCs w:val="24"/>
                <w:lang w:eastAsia="bg-BG"/>
              </w:rPr>
              <w:t>, вградено или външно</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Мрежов интерфейс</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Ethernet 100/1000 Мbps, Wireless (802.11 b/g/n)</w:t>
            </w:r>
            <w:r w:rsidRPr="00BB193B">
              <w:rPr>
                <w:rFonts w:ascii="Times New Roman" w:eastAsia="Times New Roman" w:hAnsi="Times New Roman" w:cs="Times New Roman"/>
                <w:color w:val="000000"/>
                <w:sz w:val="24"/>
                <w:szCs w:val="24"/>
                <w:lang w:eastAsia="bg-BG"/>
              </w:rPr>
              <w:t xml:space="preserve"> или съвместим</w:t>
            </w:r>
            <w:r w:rsidRPr="00BB193B">
              <w:rPr>
                <w:rFonts w:ascii="Times New Roman" w:eastAsia="Times New Roman" w:hAnsi="Times New Roman" w:cs="Times New Roman"/>
                <w:color w:val="000000"/>
                <w:sz w:val="24"/>
                <w:szCs w:val="24"/>
                <w:lang w:val="en-AU" w:eastAsia="bg-BG"/>
              </w:rPr>
              <w:t xml:space="preserve">; Bluetooth 4.0 </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Портове</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1 x VGA</w:t>
            </w:r>
            <w:r w:rsidRPr="00BB193B">
              <w:rPr>
                <w:rFonts w:ascii="Times New Roman" w:eastAsia="Times New Roman" w:hAnsi="Times New Roman" w:cs="Times New Roman"/>
                <w:color w:val="000000"/>
                <w:sz w:val="24"/>
                <w:szCs w:val="24"/>
                <w:lang w:eastAsia="bg-BG"/>
              </w:rPr>
              <w:t xml:space="preserve"> или преходник </w:t>
            </w:r>
            <w:r w:rsidRPr="00BB193B">
              <w:rPr>
                <w:rFonts w:ascii="Times New Roman" w:eastAsia="Times New Roman" w:hAnsi="Times New Roman" w:cs="Times New Roman"/>
                <w:color w:val="000000"/>
                <w:sz w:val="24"/>
                <w:szCs w:val="24"/>
                <w:lang w:val="en-AU" w:eastAsia="bg-BG"/>
              </w:rPr>
              <w:t>HDMI</w:t>
            </w:r>
            <w:r w:rsidRPr="00BB193B">
              <w:rPr>
                <w:rFonts w:ascii="Times New Roman" w:eastAsia="Times New Roman" w:hAnsi="Times New Roman" w:cs="Times New Roman"/>
                <w:color w:val="000000"/>
                <w:sz w:val="24"/>
                <w:szCs w:val="24"/>
                <w:lang w:eastAsia="bg-BG"/>
              </w:rPr>
              <w:t xml:space="preserve"> към </w:t>
            </w:r>
            <w:r w:rsidRPr="00BB193B">
              <w:rPr>
                <w:rFonts w:ascii="Times New Roman" w:eastAsia="Times New Roman" w:hAnsi="Times New Roman" w:cs="Times New Roman"/>
                <w:color w:val="000000"/>
                <w:sz w:val="24"/>
                <w:szCs w:val="24"/>
                <w:lang w:val="en-AU" w:eastAsia="bg-BG"/>
              </w:rPr>
              <w:t xml:space="preserve"> VGA, HDMI или Display port с преходник към HDMI, 1</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RJ-45</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3</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USB (min. 1</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USB3.0</w:t>
            </w:r>
            <w:r w:rsidRPr="00BB193B">
              <w:rPr>
                <w:rFonts w:ascii="Times New Roman" w:eastAsia="Times New Roman" w:hAnsi="Times New Roman" w:cs="Times New Roman"/>
                <w:color w:val="000000"/>
                <w:sz w:val="24"/>
                <w:szCs w:val="24"/>
                <w:lang w:eastAsia="bg-BG"/>
              </w:rPr>
              <w:t xml:space="preserve"> или по-нова версия)</w:t>
            </w:r>
            <w:r w:rsidRPr="00BB193B">
              <w:rPr>
                <w:rFonts w:ascii="Times New Roman" w:eastAsia="Times New Roman" w:hAnsi="Times New Roman" w:cs="Times New Roman"/>
                <w:color w:val="000000"/>
                <w:sz w:val="24"/>
                <w:szCs w:val="24"/>
                <w:lang w:val="en-AU" w:eastAsia="bg-BG"/>
              </w:rPr>
              <w:t>, жак за слушалки/вискокоговорители</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Допълнителни изисквания</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 xml:space="preserve">Вградена </w:t>
            </w:r>
            <w:r w:rsidRPr="00BB193B">
              <w:rPr>
                <w:rFonts w:ascii="Times New Roman" w:eastAsia="Times New Roman" w:hAnsi="Times New Roman" w:cs="Times New Roman"/>
                <w:color w:val="000000"/>
                <w:sz w:val="24"/>
                <w:szCs w:val="24"/>
                <w:lang w:val="en-US" w:eastAsia="bg-BG"/>
              </w:rPr>
              <w:t xml:space="preserve">Web </w:t>
            </w:r>
            <w:r w:rsidRPr="00BB193B">
              <w:rPr>
                <w:rFonts w:ascii="Times New Roman" w:eastAsia="Times New Roman" w:hAnsi="Times New Roman" w:cs="Times New Roman"/>
                <w:color w:val="000000"/>
                <w:sz w:val="24"/>
                <w:szCs w:val="24"/>
                <w:lang w:eastAsia="bg-BG"/>
              </w:rPr>
              <w:t>камера и микрофон; наличие на вграден TPM 2.0 (Trusted platform module) чип</w:t>
            </w:r>
            <w:r w:rsidRPr="00BB193B">
              <w:rPr>
                <w:rFonts w:ascii="Times New Roman" w:eastAsia="Times New Roman" w:hAnsi="Times New Roman" w:cs="Times New Roman"/>
                <w:color w:val="000000"/>
                <w:sz w:val="24"/>
                <w:szCs w:val="24"/>
                <w:lang w:val="en-US" w:eastAsia="bg-BG"/>
              </w:rPr>
              <w:t xml:space="preserve"> </w:t>
            </w:r>
            <w:r w:rsidRPr="00BB193B">
              <w:rPr>
                <w:rFonts w:ascii="Times New Roman" w:eastAsia="Times New Roman" w:hAnsi="Times New Roman" w:cs="Times New Roman"/>
                <w:color w:val="000000"/>
                <w:sz w:val="24"/>
                <w:szCs w:val="24"/>
                <w:lang w:eastAsia="bg-BG"/>
              </w:rPr>
              <w:t xml:space="preserve">или еквивалент </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Клавиатура</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Гравирана/надписана с English (US) и кирилица по БДС</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 xml:space="preserve">Посочващо устройство </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Според фирмената технология</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Мишка</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US" w:eastAsia="bg-BG"/>
              </w:rPr>
            </w:pPr>
            <w:r w:rsidRPr="00BB193B">
              <w:rPr>
                <w:rFonts w:ascii="Times New Roman" w:eastAsia="Times New Roman" w:hAnsi="Times New Roman" w:cs="Times New Roman"/>
                <w:color w:val="000000"/>
                <w:sz w:val="24"/>
                <w:szCs w:val="24"/>
                <w:lang w:eastAsia="bg-BG"/>
              </w:rPr>
              <w:t>USB, двубутонна, скрол</w:t>
            </w:r>
            <w:r w:rsidRPr="00BB193B">
              <w:rPr>
                <w:rFonts w:ascii="Times New Roman" w:eastAsia="Times New Roman" w:hAnsi="Times New Roman" w:cs="Times New Roman"/>
                <w:color w:val="000000"/>
                <w:sz w:val="24"/>
                <w:szCs w:val="24"/>
                <w:lang w:val="en-US" w:eastAsia="bg-BG"/>
              </w:rPr>
              <w:t xml:space="preserve">, </w:t>
            </w:r>
            <w:r w:rsidRPr="00BB193B">
              <w:rPr>
                <w:rFonts w:ascii="Times New Roman" w:eastAsia="Times New Roman" w:hAnsi="Times New Roman" w:cs="Times New Roman"/>
                <w:color w:val="000000"/>
                <w:sz w:val="24"/>
                <w:szCs w:val="24"/>
                <w:lang w:val="en-AU" w:eastAsia="bg-BG"/>
              </w:rPr>
              <w:t>оптична</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Акумулаторна батерия</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3-клетъчна</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Захранване</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 xml:space="preserve">Външен адаптер от 220V/50Hz и кабел по БДС </w:t>
            </w:r>
            <w:r w:rsidRPr="00BB193B">
              <w:rPr>
                <w:rFonts w:ascii="Times New Roman" w:eastAsia="Times New Roman" w:hAnsi="Times New Roman" w:cs="Times New Roman"/>
                <w:color w:val="000000"/>
                <w:sz w:val="24"/>
                <w:szCs w:val="24"/>
                <w:lang w:eastAsia="bg-BG"/>
              </w:rPr>
              <w:t>с дължина не по-малко от 1,5 метра, оригинален съответстващ на модела</w:t>
            </w:r>
            <w:r w:rsidRPr="00BB193B">
              <w:rPr>
                <w:rFonts w:ascii="Times New Roman" w:eastAsia="Times New Roman" w:hAnsi="Times New Roman" w:cs="Times New Roman"/>
                <w:sz w:val="24"/>
                <w:szCs w:val="24"/>
                <w:lang w:eastAsia="bg-BG"/>
              </w:rPr>
              <w:t>, който да бъде</w:t>
            </w:r>
            <w:r w:rsidRPr="00BB193B">
              <w:rPr>
                <w:rFonts w:ascii="Times New Roman" w:eastAsia="Times New Roman" w:hAnsi="Times New Roman" w:cs="Times New Roman"/>
                <w:sz w:val="24"/>
                <w:szCs w:val="24"/>
                <w:lang w:val="en-US" w:eastAsia="bg-BG"/>
              </w:rPr>
              <w:t xml:space="preserve"> съвместим с контакт тип „</w:t>
            </w:r>
            <w:r w:rsidRPr="00BB193B">
              <w:rPr>
                <w:rFonts w:ascii="Times New Roman" w:eastAsia="Times New Roman" w:hAnsi="Times New Roman" w:cs="Times New Roman"/>
                <w:sz w:val="24"/>
                <w:szCs w:val="24"/>
                <w:lang w:eastAsia="bg-BG"/>
              </w:rPr>
              <w:t xml:space="preserve">Шуко“ </w:t>
            </w:r>
            <w:r w:rsidRPr="00BB193B">
              <w:rPr>
                <w:rFonts w:ascii="Times New Roman" w:eastAsia="Times New Roman" w:hAnsi="Times New Roman" w:cs="Times New Roman"/>
                <w:color w:val="000000"/>
                <w:sz w:val="24"/>
                <w:szCs w:val="24"/>
                <w:lang w:val="en-US" w:eastAsia="bg-BG"/>
              </w:rPr>
              <w:t>– CEE 7/3 и CEE 7/5 или еквивалентно</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Съвместимост на предложения модел компютър с ОС</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 xml:space="preserve">MS Windows 7 </w:t>
            </w:r>
            <w:r w:rsidRPr="00BB193B">
              <w:rPr>
                <w:rFonts w:ascii="Times New Roman" w:eastAsia="Times New Roman" w:hAnsi="Times New Roman" w:cs="Times New Roman"/>
                <w:color w:val="000000"/>
                <w:sz w:val="24"/>
                <w:szCs w:val="24"/>
                <w:lang w:val="en-US" w:eastAsia="bg-BG"/>
              </w:rPr>
              <w:t>Pro</w:t>
            </w:r>
            <w:r w:rsidRPr="00BB193B">
              <w:rPr>
                <w:rFonts w:ascii="Times New Roman" w:eastAsia="Times New Roman" w:hAnsi="Times New Roman" w:cs="Times New Roman"/>
                <w:color w:val="000000"/>
                <w:sz w:val="24"/>
                <w:szCs w:val="24"/>
                <w:lang w:eastAsia="bg-BG"/>
              </w:rPr>
              <w:t xml:space="preserve">/8/8.1/10 </w:t>
            </w:r>
            <w:r w:rsidRPr="00BB193B">
              <w:rPr>
                <w:rFonts w:ascii="Times New Roman" w:eastAsia="Times New Roman" w:hAnsi="Times New Roman" w:cs="Times New Roman"/>
                <w:color w:val="000000"/>
                <w:sz w:val="24"/>
                <w:szCs w:val="24"/>
                <w:lang w:val="en-US" w:eastAsia="bg-BG"/>
              </w:rPr>
              <w:t>Pro</w:t>
            </w:r>
            <w:r w:rsidRPr="00BB193B">
              <w:rPr>
                <w:rFonts w:ascii="Times New Roman" w:eastAsia="Times New Roman" w:hAnsi="Times New Roman" w:cs="Times New Roman"/>
                <w:color w:val="000000"/>
                <w:sz w:val="24"/>
                <w:szCs w:val="24"/>
                <w:lang w:val="en-AU" w:eastAsia="bg-BG"/>
              </w:rPr>
              <w:t xml:space="preserve"> (32/64bit) </w:t>
            </w:r>
            <w:r w:rsidRPr="00BB193B">
              <w:rPr>
                <w:rFonts w:ascii="Times New Roman" w:eastAsia="Times New Roman" w:hAnsi="Times New Roman" w:cs="Times New Roman"/>
                <w:color w:val="000000"/>
                <w:sz w:val="24"/>
                <w:szCs w:val="24"/>
                <w:lang w:eastAsia="bg-BG"/>
              </w:rPr>
              <w:t>от</w:t>
            </w:r>
            <w:r w:rsidRPr="00BB193B">
              <w:rPr>
                <w:rFonts w:ascii="Times New Roman" w:eastAsia="Times New Roman" w:hAnsi="Times New Roman" w:cs="Times New Roman"/>
                <w:color w:val="000000"/>
                <w:sz w:val="24"/>
                <w:szCs w:val="24"/>
                <w:lang w:val="en-AU" w:eastAsia="bg-BG"/>
              </w:rPr>
              <w:t xml:space="preserve"> Windows Certified Products List (WCPL)</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Операционна система</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 xml:space="preserve">Инсталирана и активирана операционна система MS Windows 10 </w:t>
            </w:r>
            <w:r w:rsidRPr="00BB193B">
              <w:rPr>
                <w:rFonts w:ascii="Times New Roman" w:eastAsia="Times New Roman" w:hAnsi="Times New Roman" w:cs="Times New Roman"/>
                <w:color w:val="000000"/>
                <w:sz w:val="24"/>
                <w:szCs w:val="24"/>
                <w:lang w:val="en-US" w:eastAsia="bg-BG"/>
              </w:rPr>
              <w:t>Pro</w:t>
            </w:r>
            <w:r w:rsidRPr="00BB193B">
              <w:rPr>
                <w:rFonts w:ascii="Times New Roman" w:eastAsia="Times New Roman" w:hAnsi="Times New Roman" w:cs="Times New Roman"/>
                <w:color w:val="000000"/>
                <w:sz w:val="24"/>
                <w:szCs w:val="24"/>
                <w:lang w:eastAsia="bg-BG"/>
              </w:rPr>
              <w:t xml:space="preserve"> (64bit) </w:t>
            </w:r>
            <w:r w:rsidRPr="00BB193B">
              <w:rPr>
                <w:rFonts w:ascii="Times New Roman" w:eastAsia="Times New Roman" w:hAnsi="Times New Roman" w:cs="Times New Roman"/>
                <w:color w:val="000000"/>
                <w:sz w:val="24"/>
                <w:szCs w:val="24"/>
                <w:lang w:val="en-US" w:eastAsia="bg-BG"/>
              </w:rPr>
              <w:t>OEM</w:t>
            </w:r>
            <w:r w:rsidRPr="00BB193B">
              <w:rPr>
                <w:rFonts w:ascii="Times New Roman" w:eastAsia="Times New Roman" w:hAnsi="Times New Roman" w:cs="Times New Roman"/>
                <w:color w:val="000000"/>
                <w:sz w:val="24"/>
                <w:szCs w:val="24"/>
                <w:lang w:eastAsia="bg-BG"/>
              </w:rPr>
              <w:t xml:space="preserve"> </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r w:rsidR="003E7AC6" w:rsidRPr="00BB193B" w:rsidTr="00226BB6">
        <w:trPr>
          <w:trHeight w:val="500"/>
        </w:trPr>
        <w:tc>
          <w:tcPr>
            <w:tcW w:w="1545" w:type="dxa"/>
            <w:vMerge/>
            <w:tcBorders>
              <w:bottom w:val="single" w:sz="4" w:space="0" w:color="auto"/>
            </w:tcBorders>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tcBorders>
              <w:bottom w:val="single" w:sz="4" w:space="0" w:color="auto"/>
            </w:tcBorders>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Чанта за пренасяне</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П</w:t>
            </w:r>
            <w:r w:rsidRPr="00BB193B">
              <w:rPr>
                <w:rFonts w:ascii="Times New Roman" w:eastAsia="Times New Roman" w:hAnsi="Times New Roman" w:cs="Times New Roman"/>
                <w:color w:val="000000"/>
                <w:sz w:val="24"/>
                <w:szCs w:val="24"/>
                <w:lang w:val="en-AU" w:eastAsia="bg-BG"/>
              </w:rPr>
              <w:t>обираща целия комплект аксесоари</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bl>
    <w:p w:rsidR="00CD4B84" w:rsidRPr="00CD4B84" w:rsidRDefault="00CD4B84" w:rsidP="00693DCD">
      <w:pPr>
        <w:tabs>
          <w:tab w:val="left" w:pos="3255"/>
        </w:tabs>
        <w:jc w:val="both"/>
        <w:rPr>
          <w:rFonts w:ascii="Times New Roman" w:hAnsi="Times New Roman" w:cs="Times New Roman"/>
          <w:sz w:val="24"/>
          <w:szCs w:val="24"/>
        </w:rPr>
      </w:pPr>
    </w:p>
    <w:p w:rsidR="00693DCD" w:rsidRPr="005C1329" w:rsidRDefault="00693DCD" w:rsidP="00693DCD">
      <w:pPr>
        <w:tabs>
          <w:tab w:val="left" w:pos="3255"/>
        </w:tabs>
        <w:jc w:val="both"/>
        <w:rPr>
          <w:rFonts w:ascii="Times New Roman" w:hAnsi="Times New Roman" w:cs="Times New Roman"/>
          <w:i/>
          <w:sz w:val="24"/>
          <w:szCs w:val="24"/>
        </w:rPr>
      </w:pPr>
      <w:r w:rsidRPr="005C1329">
        <w:rPr>
          <w:rFonts w:ascii="Times New Roman" w:hAnsi="Times New Roman" w:cs="Times New Roman"/>
          <w:b/>
          <w:i/>
          <w:sz w:val="24"/>
          <w:szCs w:val="24"/>
        </w:rPr>
        <w:t>Забележка:</w:t>
      </w:r>
      <w:r w:rsidRPr="005C1329">
        <w:rPr>
          <w:rFonts w:ascii="Times New Roman" w:hAnsi="Times New Roman" w:cs="Times New Roman"/>
          <w:i/>
          <w:sz w:val="24"/>
          <w:szCs w:val="24"/>
        </w:rPr>
        <w:t xml:space="preserve"> Изпълнителите по рамковото споразумение следва да попълнят Образеца на техническо предложение с конкретните техническите параметри на техниката, която ще доставят. Техническите параметри на техниката следва да са същите или по-добри от тези, заложени в Техническата спецификация на ЦОП. Рамковите изпълнители нямат право да оставят празен ред при попълването на параметрите за съответната техника. Рамковите изпълнители нямат право да предлагат техника различна от търговската марка, която са декларирали в откритата централизирана процедура.</w:t>
      </w:r>
    </w:p>
    <w:p w:rsidR="00DD6A54" w:rsidRDefault="00DD6A54"/>
    <w:sectPr w:rsidR="00DD6A54" w:rsidSect="00785A08">
      <w:headerReference w:type="default" r:id="rId6"/>
      <w:footerReference w:type="default" r:id="rId7"/>
      <w:pgSz w:w="16838" w:h="11906" w:orient="landscape"/>
      <w:pgMar w:top="1417" w:right="1417" w:bottom="1702"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E39" w:rsidRDefault="005F2E39" w:rsidP="00B95A94">
      <w:pPr>
        <w:spacing w:after="0" w:line="240" w:lineRule="auto"/>
      </w:pPr>
      <w:r>
        <w:separator/>
      </w:r>
    </w:p>
  </w:endnote>
  <w:endnote w:type="continuationSeparator" w:id="0">
    <w:p w:rsidR="005F2E39" w:rsidRDefault="005F2E39" w:rsidP="00B9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117208"/>
      <w:docPartObj>
        <w:docPartGallery w:val="Page Numbers (Bottom of Page)"/>
        <w:docPartUnique/>
      </w:docPartObj>
    </w:sdtPr>
    <w:sdtEndPr>
      <w:rPr>
        <w:rFonts w:ascii="Times New Roman" w:hAnsi="Times New Roman" w:cs="Times New Roman"/>
        <w:noProof/>
      </w:rPr>
    </w:sdtEndPr>
    <w:sdtContent>
      <w:p w:rsidR="005D25FB" w:rsidRPr="00863E8B" w:rsidRDefault="005D25FB">
        <w:pPr>
          <w:pStyle w:val="Footer"/>
          <w:jc w:val="right"/>
          <w:rPr>
            <w:rFonts w:ascii="Times New Roman" w:hAnsi="Times New Roman" w:cs="Times New Roman"/>
          </w:rPr>
        </w:pPr>
        <w:r w:rsidRPr="00863E8B">
          <w:rPr>
            <w:rFonts w:ascii="Times New Roman" w:hAnsi="Times New Roman" w:cs="Times New Roman"/>
          </w:rPr>
          <w:fldChar w:fldCharType="begin"/>
        </w:r>
        <w:r w:rsidRPr="00863E8B">
          <w:rPr>
            <w:rFonts w:ascii="Times New Roman" w:hAnsi="Times New Roman" w:cs="Times New Roman"/>
          </w:rPr>
          <w:instrText xml:space="preserve"> PAGE   \* MERGEFORMAT </w:instrText>
        </w:r>
        <w:r w:rsidRPr="00863E8B">
          <w:rPr>
            <w:rFonts w:ascii="Times New Roman" w:hAnsi="Times New Roman" w:cs="Times New Roman"/>
          </w:rPr>
          <w:fldChar w:fldCharType="separate"/>
        </w:r>
        <w:r w:rsidR="00A747F7">
          <w:rPr>
            <w:rFonts w:ascii="Times New Roman" w:hAnsi="Times New Roman" w:cs="Times New Roman"/>
            <w:noProof/>
          </w:rPr>
          <w:t>1</w:t>
        </w:r>
        <w:r w:rsidRPr="00863E8B">
          <w:rPr>
            <w:rFonts w:ascii="Times New Roman" w:hAnsi="Times New Roman" w:cs="Times New Roman"/>
            <w:noProof/>
          </w:rPr>
          <w:fldChar w:fldCharType="end"/>
        </w:r>
      </w:p>
    </w:sdtContent>
  </w:sdt>
  <w:p w:rsidR="00EB4B4F" w:rsidRDefault="00EB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E39" w:rsidRDefault="005F2E39" w:rsidP="00B95A94">
      <w:pPr>
        <w:spacing w:after="0" w:line="240" w:lineRule="auto"/>
      </w:pPr>
      <w:r>
        <w:separator/>
      </w:r>
    </w:p>
  </w:footnote>
  <w:footnote w:type="continuationSeparator" w:id="0">
    <w:p w:rsidR="005F2E39" w:rsidRDefault="005F2E39" w:rsidP="00B95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68" w:rsidRPr="0044221E" w:rsidRDefault="00013EA0" w:rsidP="00947F4B">
    <w:pPr>
      <w:spacing w:after="0" w:line="240" w:lineRule="auto"/>
      <w:ind w:left="9912" w:firstLine="708"/>
      <w:jc w:val="center"/>
      <w:rPr>
        <w:rFonts w:ascii="Times New Roman" w:hAnsi="Times New Roman" w:cs="Times New Roman"/>
        <w:i/>
        <w:iCs/>
      </w:rPr>
    </w:pPr>
    <w:r w:rsidRPr="008650DA">
      <w:rPr>
        <w:rFonts w:ascii="Times New Roman CYR" w:eastAsia="Times New Roman" w:hAnsi="Times New Roman CYR" w:cs="Times New Roman"/>
        <w:noProof/>
        <w:color w:val="000000"/>
        <w:sz w:val="20"/>
        <w:szCs w:val="24"/>
        <w:lang w:val="en-US"/>
      </w:rPr>
      <mc:AlternateContent>
        <mc:Choice Requires="wps">
          <w:drawing>
            <wp:anchor distT="0" distB="0" distL="114300" distR="114300" simplePos="0" relativeHeight="251657728" behindDoc="0" locked="0" layoutInCell="0" allowOverlap="1" wp14:anchorId="61BD81BB" wp14:editId="3E26C3D1">
              <wp:simplePos x="0" y="0"/>
              <wp:positionH relativeFrom="column">
                <wp:posOffset>-4446</wp:posOffset>
              </wp:positionH>
              <wp:positionV relativeFrom="paragraph">
                <wp:posOffset>572770</wp:posOffset>
              </wp:positionV>
              <wp:extent cx="8867775" cy="9525"/>
              <wp:effectExtent l="0" t="0" r="2857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7775" cy="952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9E943"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1pt" to="697.9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fVGwIAADU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" o:allowincell="f" strokeweight=".15pt"/>
          </w:pict>
        </mc:Fallback>
      </mc:AlternateContent>
    </w:r>
    <w:r w:rsidR="00305125">
      <w:rPr>
        <w:rFonts w:ascii="Times New Roman" w:eastAsia="Times New Roman" w:hAnsi="Times New Roman" w:cs="Times New Roman"/>
        <w:sz w:val="20"/>
        <w:szCs w:val="20"/>
      </w:rPr>
      <w:t>Приложение № 3</w:t>
    </w:r>
  </w:p>
  <w:p w:rsidR="00345C68" w:rsidRDefault="00345C68" w:rsidP="00B95A9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A94"/>
    <w:rsid w:val="00013EA0"/>
    <w:rsid w:val="000833B7"/>
    <w:rsid w:val="001C678E"/>
    <w:rsid w:val="00200499"/>
    <w:rsid w:val="00221966"/>
    <w:rsid w:val="00226BB6"/>
    <w:rsid w:val="002867E3"/>
    <w:rsid w:val="00305125"/>
    <w:rsid w:val="00326F30"/>
    <w:rsid w:val="00345C68"/>
    <w:rsid w:val="00372447"/>
    <w:rsid w:val="00394FCB"/>
    <w:rsid w:val="003E7AC6"/>
    <w:rsid w:val="0044221E"/>
    <w:rsid w:val="00590AA8"/>
    <w:rsid w:val="005D25FB"/>
    <w:rsid w:val="005E25D7"/>
    <w:rsid w:val="005F2E39"/>
    <w:rsid w:val="005F3AE1"/>
    <w:rsid w:val="00627216"/>
    <w:rsid w:val="00654983"/>
    <w:rsid w:val="00682291"/>
    <w:rsid w:val="00693DCD"/>
    <w:rsid w:val="007162CF"/>
    <w:rsid w:val="0073330A"/>
    <w:rsid w:val="007711D3"/>
    <w:rsid w:val="00785A08"/>
    <w:rsid w:val="00786E1A"/>
    <w:rsid w:val="007D742E"/>
    <w:rsid w:val="008172C9"/>
    <w:rsid w:val="00863E8B"/>
    <w:rsid w:val="008650DA"/>
    <w:rsid w:val="00947F4B"/>
    <w:rsid w:val="009A73C6"/>
    <w:rsid w:val="009A7764"/>
    <w:rsid w:val="009E0511"/>
    <w:rsid w:val="00A065AD"/>
    <w:rsid w:val="00A634E4"/>
    <w:rsid w:val="00A72666"/>
    <w:rsid w:val="00A747F7"/>
    <w:rsid w:val="00AE6B78"/>
    <w:rsid w:val="00B41349"/>
    <w:rsid w:val="00B87E63"/>
    <w:rsid w:val="00B95A94"/>
    <w:rsid w:val="00BB3204"/>
    <w:rsid w:val="00BC2C6F"/>
    <w:rsid w:val="00BC390C"/>
    <w:rsid w:val="00C046B5"/>
    <w:rsid w:val="00CB0E35"/>
    <w:rsid w:val="00CD4B84"/>
    <w:rsid w:val="00D149B6"/>
    <w:rsid w:val="00D16C21"/>
    <w:rsid w:val="00D2321D"/>
    <w:rsid w:val="00DD259F"/>
    <w:rsid w:val="00DD6A54"/>
    <w:rsid w:val="00DE3A1C"/>
    <w:rsid w:val="00DF5E0A"/>
    <w:rsid w:val="00DF5FCC"/>
    <w:rsid w:val="00E148E0"/>
    <w:rsid w:val="00E52937"/>
    <w:rsid w:val="00EB4B4F"/>
    <w:rsid w:val="00F110BD"/>
    <w:rsid w:val="00F323DE"/>
    <w:rsid w:val="00F4685B"/>
    <w:rsid w:val="00F75FBB"/>
    <w:rsid w:val="00FA14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038C94-AAD3-403E-8F98-B70460DA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A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5A94"/>
  </w:style>
  <w:style w:type="paragraph" w:styleId="Footer">
    <w:name w:val="footer"/>
    <w:basedOn w:val="Normal"/>
    <w:link w:val="FooterChar"/>
    <w:uiPriority w:val="99"/>
    <w:unhideWhenUsed/>
    <w:rsid w:val="00B95A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5A94"/>
  </w:style>
  <w:style w:type="paragraph" w:styleId="BalloonText">
    <w:name w:val="Balloon Text"/>
    <w:basedOn w:val="Normal"/>
    <w:link w:val="BalloonTextChar"/>
    <w:uiPriority w:val="99"/>
    <w:semiHidden/>
    <w:unhideWhenUsed/>
    <w:rsid w:val="00A74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94881">
      <w:bodyDiv w:val="1"/>
      <w:marLeft w:val="0"/>
      <w:marRight w:val="0"/>
      <w:marTop w:val="0"/>
      <w:marBottom w:val="0"/>
      <w:divBdr>
        <w:top w:val="none" w:sz="0" w:space="0" w:color="auto"/>
        <w:left w:val="none" w:sz="0" w:space="0" w:color="auto"/>
        <w:bottom w:val="none" w:sz="0" w:space="0" w:color="auto"/>
        <w:right w:val="none" w:sz="0" w:space="0" w:color="auto"/>
      </w:divBdr>
    </w:div>
    <w:div w:id="20662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Съева-Стаменкова</dc:creator>
  <cp:lastModifiedBy>Stefka Hlebarova</cp:lastModifiedBy>
  <cp:revision>12</cp:revision>
  <cp:lastPrinted>2020-09-01T13:52:00Z</cp:lastPrinted>
  <dcterms:created xsi:type="dcterms:W3CDTF">2020-07-03T14:14:00Z</dcterms:created>
  <dcterms:modified xsi:type="dcterms:W3CDTF">2020-09-01T13:53:00Z</dcterms:modified>
</cp:coreProperties>
</file>