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42F83" w:rsidRDefault="004A4D54" w:rsidP="00D42F83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  <w:r>
        <w:rPr>
          <w:rFonts w:ascii="Verdana" w:hAnsi="Verdana"/>
          <w:sz w:val="4"/>
          <w:szCs w:val="4"/>
        </w:rPr>
        <w:t xml:space="preserve"> </w:t>
      </w:r>
    </w:p>
    <w:p w:rsidR="00D42F83" w:rsidRPr="00D42F83" w:rsidRDefault="009346D2" w:rsidP="00D42F83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r>
        <w:rPr>
          <w:i/>
          <w:lang w:eastAsia="en-US"/>
        </w:rPr>
        <w:t>Приложение 5</w:t>
      </w:r>
    </w:p>
    <w:p w:rsidR="00D42F83" w:rsidRDefault="00D42F83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7B4D3D" w:rsidRDefault="007B4D3D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920C51" w:rsidRDefault="00C26215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>
        <w:rPr>
          <w:b/>
          <w:lang w:eastAsia="en-US"/>
        </w:rPr>
        <w:t xml:space="preserve">Информация за текущото състояние на </w:t>
      </w:r>
      <w:r w:rsidR="00CC7856" w:rsidRPr="00CC7856">
        <w:rPr>
          <w:b/>
          <w:bCs/>
        </w:rPr>
        <w:t>“Специализирана болница за активно лечение по детски болести-проф.</w:t>
      </w:r>
      <w:r w:rsidR="00CC7856">
        <w:rPr>
          <w:b/>
          <w:bCs/>
        </w:rPr>
        <w:t xml:space="preserve"> </w:t>
      </w:r>
      <w:r w:rsidR="00CC7856" w:rsidRPr="00CC7856">
        <w:rPr>
          <w:b/>
          <w:bCs/>
        </w:rPr>
        <w:t>Иван Митев” ЕАД, гр.</w:t>
      </w:r>
      <w:r w:rsidR="00CC7856">
        <w:rPr>
          <w:b/>
          <w:bCs/>
        </w:rPr>
        <w:t xml:space="preserve"> </w:t>
      </w:r>
      <w:r w:rsidR="00CC7856" w:rsidRPr="00CC7856">
        <w:rPr>
          <w:b/>
          <w:bCs/>
        </w:rPr>
        <w:t>София</w:t>
      </w:r>
    </w:p>
    <w:p w:rsidR="00920C51" w:rsidRDefault="00920C51" w:rsidP="006636D4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920C51" w:rsidRPr="00441762" w:rsidRDefault="00920C51" w:rsidP="006636D4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6636D4" w:rsidRPr="00AF204C" w:rsidRDefault="00CC7856" w:rsidP="00BA635D">
      <w:pPr>
        <w:pStyle w:val="ListParagraph"/>
        <w:spacing w:line="360" w:lineRule="auto"/>
        <w:ind w:left="-142" w:firstLine="862"/>
        <w:jc w:val="both"/>
      </w:pPr>
      <w:r w:rsidRPr="00AF204C">
        <w:rPr>
          <w:b/>
          <w:bCs/>
        </w:rPr>
        <w:t>“Специализирана болница за активно лечение по детски болести-проф.</w:t>
      </w:r>
      <w:r w:rsidR="00E85FE5" w:rsidRPr="00AF204C">
        <w:rPr>
          <w:b/>
          <w:bCs/>
        </w:rPr>
        <w:t xml:space="preserve"> </w:t>
      </w:r>
      <w:r w:rsidRPr="00AF204C">
        <w:rPr>
          <w:b/>
          <w:bCs/>
        </w:rPr>
        <w:t xml:space="preserve">Иван Митев” ЕАД, </w:t>
      </w:r>
      <w:r w:rsidR="004E59D5" w:rsidRPr="00AF204C">
        <w:rPr>
          <w:b/>
          <w:bCs/>
        </w:rPr>
        <w:t>гр. София</w:t>
      </w:r>
      <w:r w:rsidR="000A7A3A" w:rsidRPr="00AF204C">
        <w:t xml:space="preserve"> </w:t>
      </w:r>
      <w:r w:rsidR="009865B9" w:rsidRPr="00AF204C">
        <w:t xml:space="preserve">с </w:t>
      </w:r>
      <w:r w:rsidR="009865B9" w:rsidRPr="00AF204C">
        <w:rPr>
          <w:color w:val="000000" w:themeColor="text1"/>
        </w:rPr>
        <w:t xml:space="preserve">ЕИК </w:t>
      </w:r>
      <w:r w:rsidRPr="00AF204C">
        <w:rPr>
          <w:color w:val="000000" w:themeColor="text1"/>
        </w:rPr>
        <w:t xml:space="preserve">000662790 </w:t>
      </w:r>
      <w:r w:rsidR="009865B9" w:rsidRPr="00AF204C">
        <w:t>е</w:t>
      </w:r>
      <w:r w:rsidR="00151465" w:rsidRPr="00AF204C">
        <w:t xml:space="preserve"> лечебно заведение, </w:t>
      </w:r>
      <w:r w:rsidR="009865B9" w:rsidRPr="00AF204C">
        <w:t>еднолично</w:t>
      </w:r>
      <w:r w:rsidR="000A7A3A" w:rsidRPr="00AF204C">
        <w:t xml:space="preserve"> акционерно</w:t>
      </w:r>
      <w:r w:rsidR="00151465" w:rsidRPr="00AF204C">
        <w:t xml:space="preserve"> дружество</w:t>
      </w:r>
      <w:r w:rsidR="00615FF0" w:rsidRPr="00AF204C">
        <w:t>, в което министърът</w:t>
      </w:r>
      <w:r w:rsidR="009865B9" w:rsidRPr="00AF204C">
        <w:t xml:space="preserve"> на </w:t>
      </w:r>
      <w:r w:rsidR="00AF204C" w:rsidRPr="00AF204C">
        <w:t>здравеопазването</w:t>
      </w:r>
      <w:r w:rsidR="009865B9" w:rsidRPr="00AF204C">
        <w:t xml:space="preserve"> упражнява правата на държавата като едноличен собственик на капитала. Лечебното з</w:t>
      </w:r>
      <w:r w:rsidR="00AD7AFA" w:rsidRPr="00AF204C">
        <w:t xml:space="preserve">аведение е с предмет на дейност </w:t>
      </w:r>
      <w:r w:rsidR="00AF204C">
        <w:t>осъществяване</w:t>
      </w:r>
      <w:r w:rsidRPr="00AF204C">
        <w:t xml:space="preserve"> на </w:t>
      </w:r>
      <w:r w:rsidR="00AF204C" w:rsidRPr="00AF204C">
        <w:t>болнична</w:t>
      </w:r>
      <w:r w:rsidR="00AF204C">
        <w:t xml:space="preserve"> помощ</w:t>
      </w:r>
      <w:r w:rsidRPr="00AF204C">
        <w:t xml:space="preserve"> - </w:t>
      </w:r>
      <w:r w:rsidR="00AF204C" w:rsidRPr="00AF204C">
        <w:t>диагностика</w:t>
      </w:r>
      <w:r w:rsidRPr="00AF204C">
        <w:t xml:space="preserve">, </w:t>
      </w:r>
      <w:r w:rsidR="00AF204C" w:rsidRPr="00AF204C">
        <w:t>лечение</w:t>
      </w:r>
      <w:r w:rsidRPr="00AF204C">
        <w:t xml:space="preserve"> и </w:t>
      </w:r>
      <w:r w:rsidR="00AF204C" w:rsidRPr="00AF204C">
        <w:t>диспансерно</w:t>
      </w:r>
      <w:r w:rsidRPr="00AF204C">
        <w:t xml:space="preserve"> </w:t>
      </w:r>
      <w:r w:rsidR="00AF204C" w:rsidRPr="00AF204C">
        <w:t>наблюдение</w:t>
      </w:r>
      <w:r w:rsidRPr="00AF204C">
        <w:t xml:space="preserve"> </w:t>
      </w:r>
      <w:r w:rsidR="00AF204C" w:rsidRPr="00AF204C">
        <w:t>на</w:t>
      </w:r>
      <w:r w:rsidRPr="00AF204C">
        <w:t xml:space="preserve"> </w:t>
      </w:r>
      <w:r w:rsidR="00AF204C" w:rsidRPr="00AF204C">
        <w:t>детските</w:t>
      </w:r>
      <w:r w:rsidRPr="00AF204C">
        <w:t xml:space="preserve"> </w:t>
      </w:r>
      <w:r w:rsidR="00AF204C" w:rsidRPr="00AF204C">
        <w:t>болести</w:t>
      </w:r>
      <w:r w:rsidR="000A7A3A" w:rsidRPr="00AF204C">
        <w:t xml:space="preserve">. </w:t>
      </w:r>
    </w:p>
    <w:p w:rsidR="0047772F" w:rsidRDefault="00671305" w:rsidP="0047772F">
      <w:pPr>
        <w:shd w:val="clear" w:color="auto" w:fill="FFFFFF"/>
        <w:spacing w:line="398" w:lineRule="exact"/>
        <w:ind w:right="20" w:firstLine="580"/>
        <w:jc w:val="both"/>
        <w:rPr>
          <w:lang w:eastAsia="en-US"/>
        </w:rPr>
      </w:pPr>
      <w:r w:rsidRPr="00AF204C">
        <w:rPr>
          <w:lang w:eastAsia="en-US"/>
        </w:rPr>
        <w:t>През 2000 г. след извършената реформа в системата на здравеопазването „Държавна университетска педиатрична болница” се трансформира в еднолично акционерно търговско дружество с наименование „Специализирана болница за активно лечение на детски болести – проф. Иван Митев“ ЕАД, гр. София (</w:t>
      </w:r>
      <w:r w:rsidR="00736DA2" w:rsidRPr="00AF204C">
        <w:rPr>
          <w:lang w:eastAsia="en-US"/>
        </w:rPr>
        <w:t>„</w:t>
      </w:r>
      <w:r w:rsidRPr="00AF204C">
        <w:rPr>
          <w:lang w:eastAsia="en-US"/>
        </w:rPr>
        <w:t>СБАЛДБ – проф. Иван М</w:t>
      </w:r>
      <w:r w:rsidR="00736DA2" w:rsidRPr="00AF204C">
        <w:rPr>
          <w:lang w:eastAsia="en-US"/>
        </w:rPr>
        <w:t>итев“</w:t>
      </w:r>
      <w:r w:rsidRPr="00AF204C">
        <w:rPr>
          <w:lang w:eastAsia="en-US"/>
        </w:rPr>
        <w:t xml:space="preserve"> </w:t>
      </w:r>
      <w:r w:rsidRPr="00AF204C">
        <w:rPr>
          <w:color w:val="000000" w:themeColor="text1"/>
          <w:lang w:eastAsia="en-US"/>
        </w:rPr>
        <w:t>ЕАД</w:t>
      </w:r>
      <w:r w:rsidR="00B5089F" w:rsidRPr="00AF204C">
        <w:rPr>
          <w:bCs/>
          <w:color w:val="000000" w:themeColor="text1"/>
        </w:rPr>
        <w:t>). Към лечебното заведение е създадено еднолично друж</w:t>
      </w:r>
      <w:r w:rsidR="009F06C9" w:rsidRPr="00AF204C">
        <w:rPr>
          <w:bCs/>
          <w:color w:val="000000" w:themeColor="text1"/>
        </w:rPr>
        <w:t xml:space="preserve">ество с ограничена отговорност – </w:t>
      </w:r>
      <w:r w:rsidR="00B5089F" w:rsidRPr="00AF204C">
        <w:rPr>
          <w:bCs/>
          <w:color w:val="000000" w:themeColor="text1"/>
        </w:rPr>
        <w:t xml:space="preserve">„Медицински център за специализирана </w:t>
      </w:r>
      <w:proofErr w:type="spellStart"/>
      <w:r w:rsidR="00B5089F" w:rsidRPr="00AF204C">
        <w:rPr>
          <w:bCs/>
          <w:color w:val="000000" w:themeColor="text1"/>
        </w:rPr>
        <w:t>извънболнична</w:t>
      </w:r>
      <w:proofErr w:type="spellEnd"/>
      <w:r w:rsidR="00B5089F" w:rsidRPr="00AF204C">
        <w:rPr>
          <w:bCs/>
          <w:color w:val="000000" w:themeColor="text1"/>
        </w:rPr>
        <w:t xml:space="preserve"> медицинска помощ по детски болести“ ЕООД</w:t>
      </w:r>
      <w:r w:rsidR="009F06C9" w:rsidRPr="00AF204C">
        <w:rPr>
          <w:bCs/>
          <w:color w:val="000000" w:themeColor="text1"/>
        </w:rPr>
        <w:t xml:space="preserve">, чийто едноличен собственик на капитала е СБАЛДБ „Проф. Иван Митев” ЕАД.  </w:t>
      </w:r>
      <w:r w:rsidR="009F06C9" w:rsidRPr="00AF204C">
        <w:rPr>
          <w:lang w:eastAsia="en-US"/>
        </w:rPr>
        <w:t>Мисията на СБАЛДБ „Проф.</w:t>
      </w:r>
      <w:r w:rsidR="007E6A3B" w:rsidRPr="00AF204C">
        <w:rPr>
          <w:lang w:eastAsia="en-US"/>
        </w:rPr>
        <w:t xml:space="preserve"> Иван Митев“ ЕАД е насочена към </w:t>
      </w:r>
      <w:r w:rsidR="009F06C9" w:rsidRPr="00AF204C">
        <w:rPr>
          <w:lang w:eastAsia="en-US"/>
        </w:rPr>
        <w:t xml:space="preserve">осигуряване на своевременна, качествена, </w:t>
      </w:r>
      <w:r w:rsidR="007E6A3B" w:rsidRPr="00AF204C">
        <w:rPr>
          <w:lang w:eastAsia="en-US"/>
        </w:rPr>
        <w:t>достъпна</w:t>
      </w:r>
      <w:r w:rsidR="009F06C9" w:rsidRPr="00AF204C">
        <w:rPr>
          <w:lang w:eastAsia="en-US"/>
        </w:rPr>
        <w:t xml:space="preserve"> и иновативна медицинска помощ в сферата на диагностиката и лечението, възстановяването и укрепването</w:t>
      </w:r>
      <w:r w:rsidR="008365B2">
        <w:rPr>
          <w:lang w:eastAsia="en-US"/>
        </w:rPr>
        <w:t xml:space="preserve"> на здравето на</w:t>
      </w:r>
      <w:bookmarkStart w:id="0" w:name="_GoBack"/>
      <w:bookmarkEnd w:id="0"/>
      <w:r w:rsidR="007E6A3B" w:rsidRPr="00AF204C">
        <w:rPr>
          <w:lang w:eastAsia="en-US"/>
        </w:rPr>
        <w:t xml:space="preserve"> деца от 0 – </w:t>
      </w:r>
      <w:r w:rsidR="009F06C9" w:rsidRPr="00AF204C">
        <w:rPr>
          <w:lang w:eastAsia="en-US"/>
        </w:rPr>
        <w:t>18 г. с остри и хронични заболявания чрез най-съвременни методи и повишаване на качеството на живота им, а чрез тях и на техните близки и на цялото общество</w:t>
      </w:r>
      <w:r w:rsidR="007E6A3B" w:rsidRPr="00AF204C">
        <w:rPr>
          <w:lang w:eastAsia="en-US"/>
        </w:rPr>
        <w:t xml:space="preserve">; </w:t>
      </w:r>
      <w:r w:rsidR="009F06C9" w:rsidRPr="00AF204C">
        <w:rPr>
          <w:lang w:eastAsia="en-US"/>
        </w:rPr>
        <w:t xml:space="preserve">снижаване на предотвратимата </w:t>
      </w:r>
      <w:r w:rsidR="007E6A3B" w:rsidRPr="00AF204C">
        <w:rPr>
          <w:lang w:eastAsia="en-US"/>
        </w:rPr>
        <w:t xml:space="preserve">смъртност; </w:t>
      </w:r>
      <w:r w:rsidR="009F06C9" w:rsidRPr="00AF204C">
        <w:rPr>
          <w:lang w:eastAsia="en-US"/>
        </w:rPr>
        <w:t xml:space="preserve">развитието на възможности за осигуряване на комплексно интердисциплинарно медицинско обслужване за деца с хронични заболявания, увреждания и специфични потребности и повишаване на качеството им на живот. </w:t>
      </w:r>
    </w:p>
    <w:p w:rsidR="00441762" w:rsidRPr="0047772F" w:rsidRDefault="009D397E" w:rsidP="0047772F">
      <w:pPr>
        <w:shd w:val="clear" w:color="auto" w:fill="FFFFFF"/>
        <w:spacing w:line="398" w:lineRule="exact"/>
        <w:ind w:right="20" w:firstLine="580"/>
        <w:jc w:val="both"/>
        <w:rPr>
          <w:lang w:eastAsia="en-US"/>
        </w:rPr>
      </w:pPr>
      <w:r w:rsidRPr="00AF204C">
        <w:rPr>
          <w:bCs/>
          <w:color w:val="000000" w:themeColor="text1"/>
        </w:rPr>
        <w:t>Към 30.09.2023г. лечебното заведение реализира поло</w:t>
      </w:r>
      <w:r w:rsidR="000327DC" w:rsidRPr="00AF204C">
        <w:rPr>
          <w:bCs/>
          <w:color w:val="000000" w:themeColor="text1"/>
        </w:rPr>
        <w:t>жителен текущ финансов резултат</w:t>
      </w:r>
      <w:r w:rsidRPr="00AF204C">
        <w:rPr>
          <w:bCs/>
          <w:color w:val="000000" w:themeColor="text1"/>
        </w:rPr>
        <w:t xml:space="preserve"> </w:t>
      </w:r>
      <w:r w:rsidR="001B55AE" w:rsidRPr="00AF204C">
        <w:rPr>
          <w:rFonts w:eastAsia="Calibri"/>
          <w:noProof/>
          <w:color w:val="000000" w:themeColor="text1"/>
          <w:lang w:eastAsia="en-US"/>
        </w:rPr>
        <w:t xml:space="preserve">печалба в размер на </w:t>
      </w:r>
      <w:r w:rsidR="00E517FC" w:rsidRPr="00AF204C">
        <w:rPr>
          <w:rFonts w:eastAsia="Calibri"/>
          <w:noProof/>
          <w:color w:val="000000" w:themeColor="text1"/>
          <w:szCs w:val="22"/>
          <w:lang w:eastAsia="en-US"/>
        </w:rPr>
        <w:t>167</w:t>
      </w:r>
      <w:r w:rsidR="00FE392E"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132A7D" w:rsidRPr="00AF204C">
        <w:rPr>
          <w:rFonts w:eastAsia="Calibri"/>
          <w:noProof/>
          <w:color w:val="000000" w:themeColor="text1"/>
          <w:lang w:eastAsia="en-US"/>
        </w:rPr>
        <w:t>хил.</w:t>
      </w:r>
      <w:r w:rsidRPr="00AF204C">
        <w:rPr>
          <w:rFonts w:eastAsia="Calibri"/>
          <w:noProof/>
          <w:color w:val="000000" w:themeColor="text1"/>
          <w:lang w:eastAsia="en-US"/>
        </w:rPr>
        <w:t xml:space="preserve"> лв. </w:t>
      </w:r>
      <w:r w:rsidR="00A43B5C" w:rsidRPr="00AF204C">
        <w:rPr>
          <w:rFonts w:eastAsia="Calibri"/>
          <w:noProof/>
          <w:color w:val="000000" w:themeColor="text1"/>
          <w:lang w:eastAsia="en-US"/>
        </w:rPr>
        <w:t>и общо финансов резултат (отчитащ неразпред</w:t>
      </w:r>
      <w:r w:rsidR="009F06C9" w:rsidRPr="00AF204C">
        <w:rPr>
          <w:rFonts w:eastAsia="Calibri"/>
          <w:noProof/>
          <w:color w:val="000000" w:themeColor="text1"/>
          <w:lang w:eastAsia="en-US"/>
        </w:rPr>
        <w:t>елена печалба и натрупана загубата</w:t>
      </w:r>
      <w:r w:rsidR="00A43B5C" w:rsidRPr="00AF204C">
        <w:rPr>
          <w:rFonts w:eastAsia="Calibri"/>
          <w:noProof/>
          <w:color w:val="000000" w:themeColor="text1"/>
          <w:lang w:eastAsia="en-US"/>
        </w:rPr>
        <w:t xml:space="preserve"> от предходни години) </w:t>
      </w:r>
      <w:r w:rsidR="00FE392E" w:rsidRPr="00AF204C">
        <w:rPr>
          <w:rFonts w:eastAsia="Calibri"/>
          <w:noProof/>
          <w:color w:val="000000" w:themeColor="text1"/>
          <w:lang w:eastAsia="en-US"/>
        </w:rPr>
        <w:t>загуба</w:t>
      </w:r>
      <w:r w:rsidR="00132A7D"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A43B5C" w:rsidRPr="00AF204C">
        <w:rPr>
          <w:rFonts w:eastAsia="Calibri"/>
          <w:noProof/>
          <w:color w:val="000000" w:themeColor="text1"/>
          <w:lang w:eastAsia="en-US"/>
        </w:rPr>
        <w:t xml:space="preserve">в размер на </w:t>
      </w:r>
      <w:r w:rsidR="00FE392E"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FE392E" w:rsidRPr="00AF204C">
        <w:rPr>
          <w:rFonts w:eastAsia="Calibri"/>
          <w:noProof/>
          <w:color w:val="000000" w:themeColor="text1"/>
          <w:lang w:eastAsia="en-US"/>
        </w:rPr>
        <w:br/>
        <w:t>-</w:t>
      </w:r>
      <w:r w:rsidR="00CA0A60" w:rsidRPr="00AF204C">
        <w:rPr>
          <w:rFonts w:eastAsia="Calibri"/>
          <w:noProof/>
          <w:color w:val="000000" w:themeColor="text1"/>
          <w:lang w:eastAsia="en-US"/>
        </w:rPr>
        <w:t>514</w:t>
      </w:r>
      <w:r w:rsidR="00FE392E"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132A7D" w:rsidRPr="00AF204C">
        <w:rPr>
          <w:rFonts w:eastAsia="Calibri"/>
          <w:noProof/>
          <w:color w:val="000000" w:themeColor="text1"/>
          <w:lang w:eastAsia="en-US"/>
        </w:rPr>
        <w:t xml:space="preserve">хил. лв. </w:t>
      </w:r>
      <w:r w:rsidR="00FE392E" w:rsidRPr="00AF204C">
        <w:rPr>
          <w:rFonts w:eastAsia="Calibri"/>
          <w:noProof/>
          <w:color w:val="000000" w:themeColor="text1"/>
          <w:lang w:eastAsia="en-US"/>
        </w:rPr>
        <w:t xml:space="preserve">Приходите за периода са </w:t>
      </w:r>
      <w:r w:rsidR="001B1E7C" w:rsidRPr="00AF204C">
        <w:rPr>
          <w:rFonts w:eastAsia="Calibri"/>
          <w:noProof/>
          <w:color w:val="000000" w:themeColor="text1"/>
          <w:szCs w:val="22"/>
          <w:lang w:eastAsia="en-US"/>
        </w:rPr>
        <w:t xml:space="preserve">12 880 </w:t>
      </w:r>
      <w:r w:rsidR="001B1E7C" w:rsidRPr="00AF204C">
        <w:rPr>
          <w:rFonts w:eastAsia="Calibri"/>
          <w:noProof/>
          <w:color w:val="000000" w:themeColor="text1"/>
          <w:lang w:eastAsia="en-US"/>
        </w:rPr>
        <w:t>лв., от които 72% са приходи от НЗОК, 19,6% са приходи от Министерство на здравеопазването и 8,4%</w:t>
      </w:r>
      <w:r w:rsidR="00FE392E" w:rsidRPr="00AF204C">
        <w:rPr>
          <w:rFonts w:eastAsia="Calibri"/>
          <w:noProof/>
          <w:color w:val="000000" w:themeColor="text1"/>
          <w:lang w:eastAsia="en-US"/>
        </w:rPr>
        <w:t xml:space="preserve"> са приходи от други източници. Разходите за периода са </w:t>
      </w:r>
      <w:r w:rsidR="001B1E7C" w:rsidRPr="00AF204C">
        <w:rPr>
          <w:rFonts w:eastAsia="Calibri"/>
          <w:noProof/>
          <w:color w:val="000000" w:themeColor="text1"/>
          <w:szCs w:val="22"/>
          <w:lang w:eastAsia="en-US"/>
        </w:rPr>
        <w:t xml:space="preserve">12 713 </w:t>
      </w:r>
      <w:r w:rsidR="00FE392E" w:rsidRPr="00AF204C">
        <w:rPr>
          <w:rFonts w:eastAsia="Calibri"/>
          <w:noProof/>
          <w:color w:val="000000" w:themeColor="text1"/>
          <w:lang w:eastAsia="en-US"/>
        </w:rPr>
        <w:t xml:space="preserve">хил. лв., от които </w:t>
      </w:r>
      <w:r w:rsidR="001B1E7C" w:rsidRPr="00AF204C">
        <w:rPr>
          <w:rFonts w:eastAsia="Calibri"/>
          <w:noProof/>
          <w:color w:val="000000" w:themeColor="text1"/>
          <w:lang w:eastAsia="en-US"/>
        </w:rPr>
        <w:t>16,1</w:t>
      </w:r>
      <w:r w:rsidR="00FE392E" w:rsidRPr="00AF204C">
        <w:rPr>
          <w:rFonts w:eastAsia="Calibri"/>
          <w:noProof/>
          <w:color w:val="000000" w:themeColor="text1"/>
          <w:lang w:eastAsia="en-US"/>
        </w:rPr>
        <w:t xml:space="preserve">% са разходи за </w:t>
      </w:r>
      <w:r w:rsidR="00FE392E" w:rsidRPr="00AF204C">
        <w:rPr>
          <w:rFonts w:eastAsia="Calibri"/>
          <w:noProof/>
          <w:color w:val="000000" w:themeColor="text1"/>
          <w:lang w:eastAsia="en-US"/>
        </w:rPr>
        <w:lastRenderedPageBreak/>
        <w:t>материали, 6</w:t>
      </w:r>
      <w:r w:rsidR="001B1E7C" w:rsidRPr="00AF204C">
        <w:rPr>
          <w:rFonts w:eastAsia="Calibri"/>
          <w:noProof/>
          <w:color w:val="000000" w:themeColor="text1"/>
          <w:lang w:eastAsia="en-US"/>
        </w:rPr>
        <w:t xml:space="preserve">5,2 % са разходи за персонал и 18,7 </w:t>
      </w:r>
      <w:r w:rsidR="00FE392E" w:rsidRPr="00AF204C">
        <w:rPr>
          <w:rFonts w:eastAsia="Calibri"/>
          <w:noProof/>
          <w:color w:val="000000" w:themeColor="text1"/>
          <w:lang w:eastAsia="en-US"/>
        </w:rPr>
        <w:t>% са разходи за външни услуги, амортизации и други.</w:t>
      </w:r>
    </w:p>
    <w:p w:rsidR="00441762" w:rsidRPr="00AF204C" w:rsidRDefault="00132A7D" w:rsidP="00441762">
      <w:pPr>
        <w:pStyle w:val="NormalWeb"/>
        <w:spacing w:before="0" w:beforeAutospacing="0" w:after="0" w:line="360" w:lineRule="auto"/>
        <w:ind w:left="-142" w:firstLine="862"/>
        <w:jc w:val="both"/>
        <w:rPr>
          <w:rFonts w:eastAsia="Calibri"/>
          <w:noProof/>
          <w:color w:val="000000" w:themeColor="text1"/>
          <w:lang w:eastAsia="en-US"/>
        </w:rPr>
      </w:pPr>
      <w:r w:rsidRPr="00AF204C">
        <w:rPr>
          <w:rFonts w:eastAsia="Calibri"/>
          <w:noProof/>
          <w:color w:val="000000" w:themeColor="text1"/>
          <w:lang w:eastAsia="en-US"/>
        </w:rPr>
        <w:t xml:space="preserve">Общо собственият капитал на дружеството е </w:t>
      </w:r>
      <w:r w:rsidR="000C5339" w:rsidRPr="00AF204C">
        <w:rPr>
          <w:rFonts w:eastAsia="Calibri"/>
          <w:noProof/>
          <w:color w:val="000000" w:themeColor="text1"/>
          <w:szCs w:val="22"/>
          <w:lang w:eastAsia="en-US"/>
        </w:rPr>
        <w:t xml:space="preserve">3 945 </w:t>
      </w:r>
      <w:r w:rsidRPr="00AF204C">
        <w:rPr>
          <w:rFonts w:eastAsia="Calibri"/>
          <w:noProof/>
          <w:color w:val="000000" w:themeColor="text1"/>
          <w:lang w:eastAsia="en-US"/>
        </w:rPr>
        <w:t>хил</w:t>
      </w:r>
      <w:r w:rsidR="00443909" w:rsidRPr="00AF204C">
        <w:rPr>
          <w:rFonts w:eastAsia="Calibri"/>
          <w:noProof/>
          <w:color w:val="000000" w:themeColor="text1"/>
          <w:lang w:eastAsia="en-US"/>
        </w:rPr>
        <w:t>. лв.</w:t>
      </w:r>
      <w:r w:rsidRPr="00AF204C">
        <w:rPr>
          <w:color w:val="000000" w:themeColor="text1"/>
          <w:lang w:eastAsia="en-US"/>
        </w:rPr>
        <w:t xml:space="preserve"> </w:t>
      </w:r>
      <w:r w:rsidR="00822141" w:rsidRPr="00AF204C">
        <w:rPr>
          <w:rFonts w:eastAsia="Calibri"/>
          <w:noProof/>
          <w:color w:val="000000" w:themeColor="text1"/>
          <w:lang w:eastAsia="en-US"/>
        </w:rPr>
        <w:t>Стойността на активите към края на трето тр</w:t>
      </w:r>
      <w:r w:rsidRPr="00AF204C">
        <w:rPr>
          <w:rFonts w:eastAsia="Calibri"/>
          <w:noProof/>
          <w:color w:val="000000" w:themeColor="text1"/>
          <w:lang w:eastAsia="en-US"/>
        </w:rPr>
        <w:t xml:space="preserve">имесечие на 2023 г. е </w:t>
      </w:r>
      <w:r w:rsidR="000C5339" w:rsidRPr="00AF204C">
        <w:rPr>
          <w:rFonts w:eastAsia="Calibri"/>
          <w:noProof/>
          <w:color w:val="000000" w:themeColor="text1"/>
          <w:szCs w:val="22"/>
          <w:lang w:eastAsia="en-US"/>
        </w:rPr>
        <w:t xml:space="preserve">27 601 </w:t>
      </w:r>
      <w:r w:rsidRPr="00AF204C">
        <w:rPr>
          <w:rFonts w:eastAsia="Calibri"/>
          <w:noProof/>
          <w:color w:val="000000" w:themeColor="text1"/>
          <w:lang w:eastAsia="en-US"/>
        </w:rPr>
        <w:t>хил. лв., а з</w:t>
      </w:r>
      <w:r w:rsidR="00822141" w:rsidRPr="00AF204C">
        <w:rPr>
          <w:rFonts w:eastAsia="Calibri"/>
          <w:noProof/>
          <w:color w:val="000000" w:themeColor="text1"/>
          <w:lang w:eastAsia="en-US"/>
        </w:rPr>
        <w:t>адълженията</w:t>
      </w:r>
      <w:r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822141" w:rsidRPr="00AF204C">
        <w:rPr>
          <w:rFonts w:eastAsia="Calibri"/>
          <w:noProof/>
          <w:color w:val="000000" w:themeColor="text1"/>
          <w:lang w:eastAsia="en-US"/>
        </w:rPr>
        <w:t xml:space="preserve">към 30.09.2023 г. са </w:t>
      </w:r>
      <w:r w:rsidR="00E517FC" w:rsidRPr="00AF204C">
        <w:rPr>
          <w:rFonts w:eastAsia="Calibri"/>
          <w:noProof/>
          <w:color w:val="000000" w:themeColor="text1"/>
          <w:lang w:eastAsia="en-US"/>
        </w:rPr>
        <w:t xml:space="preserve">17 252 </w:t>
      </w:r>
      <w:r w:rsidRPr="00AF204C">
        <w:rPr>
          <w:rFonts w:eastAsia="Calibri"/>
          <w:noProof/>
          <w:color w:val="000000" w:themeColor="text1"/>
          <w:lang w:eastAsia="en-US"/>
        </w:rPr>
        <w:t>хил. лв.</w:t>
      </w:r>
      <w:r w:rsidR="00A97534" w:rsidRPr="00AF204C">
        <w:rPr>
          <w:rFonts w:eastAsia="Calibri"/>
          <w:noProof/>
          <w:color w:val="000000" w:themeColor="text1"/>
          <w:lang w:eastAsia="en-US"/>
        </w:rPr>
        <w:t xml:space="preserve">, като липсват </w:t>
      </w:r>
      <w:r w:rsidRPr="00AF204C">
        <w:rPr>
          <w:rFonts w:eastAsia="Calibri"/>
          <w:noProof/>
          <w:color w:val="000000" w:themeColor="text1"/>
          <w:lang w:eastAsia="en-US"/>
        </w:rPr>
        <w:t xml:space="preserve">просрочени задължения. </w:t>
      </w:r>
      <w:r w:rsidR="00822141" w:rsidRPr="00AF204C">
        <w:rPr>
          <w:rFonts w:eastAsia="Calibri"/>
          <w:noProof/>
          <w:color w:val="000000" w:themeColor="text1"/>
          <w:lang w:eastAsia="en-US"/>
        </w:rPr>
        <w:t xml:space="preserve">Персоналът на болницата е </w:t>
      </w:r>
      <w:r w:rsidR="00F87A78" w:rsidRPr="00AF204C">
        <w:rPr>
          <w:rFonts w:eastAsia="Calibri"/>
          <w:noProof/>
          <w:color w:val="000000" w:themeColor="text1"/>
          <w:szCs w:val="22"/>
          <w:lang w:eastAsia="en-US"/>
        </w:rPr>
        <w:t>285</w:t>
      </w:r>
      <w:r w:rsidR="00F87A78" w:rsidRPr="00AF204C">
        <w:rPr>
          <w:rFonts w:eastAsia="Calibri"/>
          <w:noProof/>
          <w:color w:val="000000" w:themeColor="text1"/>
          <w:lang w:eastAsia="en-US"/>
        </w:rPr>
        <w:t xml:space="preserve"> души, от които 63</w:t>
      </w:r>
      <w:r w:rsidR="001B175B" w:rsidRPr="00AF204C">
        <w:rPr>
          <w:rFonts w:eastAsia="Calibri"/>
          <w:noProof/>
          <w:color w:val="000000" w:themeColor="text1"/>
          <w:lang w:eastAsia="en-US"/>
        </w:rPr>
        <w:t xml:space="preserve"> лекари, </w:t>
      </w:r>
      <w:r w:rsidR="00F87A78" w:rsidRPr="00AF204C">
        <w:rPr>
          <w:rFonts w:eastAsia="Calibri"/>
          <w:noProof/>
          <w:color w:val="000000" w:themeColor="text1"/>
          <w:lang w:eastAsia="en-US"/>
        </w:rPr>
        <w:t>96</w:t>
      </w:r>
      <w:r w:rsidR="001B175B" w:rsidRPr="00AF204C">
        <w:rPr>
          <w:rFonts w:eastAsia="Calibri"/>
          <w:noProof/>
          <w:color w:val="000000" w:themeColor="text1"/>
          <w:lang w:eastAsia="en-US"/>
        </w:rPr>
        <w:t xml:space="preserve"> специалисти по здравни грижи и </w:t>
      </w:r>
      <w:r w:rsidR="00F87A78" w:rsidRPr="00AF204C">
        <w:rPr>
          <w:rFonts w:eastAsia="Calibri"/>
          <w:noProof/>
          <w:color w:val="000000" w:themeColor="text1"/>
          <w:lang w:eastAsia="en-US"/>
        </w:rPr>
        <w:t>49</w:t>
      </w:r>
      <w:r w:rsidR="001B175B" w:rsidRPr="00AF204C">
        <w:rPr>
          <w:rFonts w:eastAsia="Calibri"/>
          <w:noProof/>
          <w:color w:val="000000" w:themeColor="text1"/>
          <w:lang w:eastAsia="en-US"/>
        </w:rPr>
        <w:t xml:space="preserve"> санитари.</w:t>
      </w:r>
      <w:r w:rsidR="00E43612"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822141" w:rsidRPr="00AF204C">
        <w:rPr>
          <w:rFonts w:eastAsia="Calibri"/>
          <w:noProof/>
          <w:color w:val="000000" w:themeColor="text1"/>
          <w:lang w:eastAsia="en-US"/>
        </w:rPr>
        <w:t>През третото тримесечие на 2023 г. бро</w:t>
      </w:r>
      <w:r w:rsidR="000178ED" w:rsidRPr="00AF204C">
        <w:rPr>
          <w:rFonts w:eastAsia="Calibri"/>
          <w:noProof/>
          <w:color w:val="000000" w:themeColor="text1"/>
          <w:lang w:eastAsia="en-US"/>
        </w:rPr>
        <w:t xml:space="preserve">ят на преминалите болни е </w:t>
      </w:r>
      <w:r w:rsidR="00F87A78" w:rsidRPr="00AF204C">
        <w:rPr>
          <w:rFonts w:eastAsia="Calibri"/>
          <w:noProof/>
          <w:color w:val="000000" w:themeColor="text1"/>
          <w:lang w:eastAsia="en-US"/>
        </w:rPr>
        <w:t>5 100</w:t>
      </w:r>
      <w:r w:rsidR="001B175B"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0178ED" w:rsidRPr="00AF204C">
        <w:rPr>
          <w:rFonts w:eastAsia="Calibri"/>
          <w:noProof/>
          <w:color w:val="000000" w:themeColor="text1"/>
          <w:lang w:eastAsia="en-US"/>
        </w:rPr>
        <w:t>пациента</w:t>
      </w:r>
      <w:r w:rsidR="00A97534" w:rsidRPr="00AF204C">
        <w:rPr>
          <w:rFonts w:eastAsia="Calibri"/>
          <w:noProof/>
          <w:color w:val="000000" w:themeColor="text1"/>
          <w:lang w:eastAsia="en-US"/>
        </w:rPr>
        <w:t>,</w:t>
      </w:r>
      <w:r w:rsidR="000178ED" w:rsidRPr="00AF204C">
        <w:rPr>
          <w:rFonts w:eastAsia="Calibri"/>
          <w:noProof/>
          <w:color w:val="000000" w:themeColor="text1"/>
          <w:lang w:eastAsia="en-US"/>
        </w:rPr>
        <w:t xml:space="preserve"> при</w:t>
      </w:r>
      <w:r w:rsidRPr="00AF204C">
        <w:rPr>
          <w:rFonts w:eastAsia="Calibri"/>
          <w:noProof/>
          <w:color w:val="000000" w:themeColor="text1"/>
          <w:lang w:eastAsia="en-US"/>
        </w:rPr>
        <w:t xml:space="preserve"> </w:t>
      </w:r>
      <w:r w:rsidR="00F62CDC" w:rsidRPr="00AF204C">
        <w:rPr>
          <w:rFonts w:eastAsia="Calibri"/>
          <w:noProof/>
          <w:color w:val="000000" w:themeColor="text1"/>
          <w:lang w:eastAsia="en-US"/>
        </w:rPr>
        <w:t>ср</w:t>
      </w:r>
      <w:r w:rsidR="00CA0A60" w:rsidRPr="00AF204C">
        <w:rPr>
          <w:rFonts w:eastAsia="Calibri"/>
          <w:noProof/>
          <w:color w:val="000000" w:themeColor="text1"/>
          <w:lang w:eastAsia="en-US"/>
        </w:rPr>
        <w:t>еден брой легла 107</w:t>
      </w:r>
      <w:r w:rsidR="00F62CDC" w:rsidRPr="00AF204C">
        <w:rPr>
          <w:rFonts w:eastAsia="Calibri"/>
          <w:noProof/>
          <w:color w:val="000000" w:themeColor="text1"/>
          <w:lang w:eastAsia="en-US"/>
        </w:rPr>
        <w:t xml:space="preserve"> и </w:t>
      </w:r>
      <w:r w:rsidR="001B175B" w:rsidRPr="00AF204C">
        <w:rPr>
          <w:rFonts w:eastAsia="Calibri"/>
          <w:noProof/>
          <w:color w:val="000000" w:themeColor="text1"/>
          <w:lang w:eastAsia="en-US"/>
        </w:rPr>
        <w:t>заетост 7</w:t>
      </w:r>
      <w:r w:rsidR="00F87A78" w:rsidRPr="00AF204C">
        <w:rPr>
          <w:rFonts w:eastAsia="Calibri"/>
          <w:noProof/>
          <w:color w:val="000000" w:themeColor="text1"/>
          <w:lang w:eastAsia="en-US"/>
        </w:rPr>
        <w:t>7</w:t>
      </w:r>
      <w:r w:rsidRPr="00AF204C">
        <w:rPr>
          <w:rFonts w:eastAsia="Calibri"/>
          <w:noProof/>
          <w:color w:val="000000" w:themeColor="text1"/>
          <w:lang w:eastAsia="en-US"/>
        </w:rPr>
        <w:t xml:space="preserve">%. </w:t>
      </w:r>
    </w:p>
    <w:p w:rsidR="00441762" w:rsidRPr="00AF204C" w:rsidRDefault="00514B27" w:rsidP="00441762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  <w:r w:rsidRPr="00AF204C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Pr="00AF204C">
          <w:rPr>
            <w:rStyle w:val="Hyperlink"/>
            <w:bCs/>
          </w:rPr>
          <w:t>https://reports.appk.government.bg/public/Public/Reports?orgId=175</w:t>
        </w:r>
      </w:hyperlink>
      <w:r w:rsidR="00441762" w:rsidRPr="00AF204C">
        <w:rPr>
          <w:bCs/>
          <w:color w:val="000000" w:themeColor="text1"/>
        </w:rPr>
        <w:t xml:space="preserve">  поддържана от АППК.</w:t>
      </w:r>
    </w:p>
    <w:p w:rsidR="00514B27" w:rsidRPr="00AF204C" w:rsidRDefault="006B65BD" w:rsidP="00441762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  <w:r w:rsidRPr="00AF204C">
        <w:rPr>
          <w:bCs/>
          <w:color w:val="000000" w:themeColor="text1"/>
        </w:rPr>
        <w:t xml:space="preserve">В изпълнение </w:t>
      </w:r>
      <w:r w:rsidR="008420B3" w:rsidRPr="00AF204C">
        <w:rPr>
          <w:bCs/>
          <w:color w:val="000000" w:themeColor="text1"/>
        </w:rPr>
        <w:t xml:space="preserve">на Наредба № 5 от 17.06.2019 г. </w:t>
      </w:r>
      <w:r w:rsidRPr="00AF204C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AF204C">
        <w:rPr>
          <w:bCs/>
          <w:color w:val="000000" w:themeColor="text1"/>
        </w:rPr>
        <w:t>бни заведения за болнична помощ,</w:t>
      </w:r>
      <w:r w:rsidRPr="00AF204C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AF204C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AF204C">
        <w:rPr>
          <w:bCs/>
          <w:color w:val="000000" w:themeColor="text1"/>
        </w:rPr>
        <w:t>леглодни</w:t>
      </w:r>
      <w:proofErr w:type="spellEnd"/>
      <w:r w:rsidR="00CA4FE2" w:rsidRPr="00AF204C">
        <w:rPr>
          <w:bCs/>
          <w:color w:val="000000" w:themeColor="text1"/>
        </w:rPr>
        <w:t xml:space="preserve"> </w:t>
      </w:r>
      <w:r w:rsidRPr="00AF204C">
        <w:rPr>
          <w:bCs/>
          <w:color w:val="000000" w:themeColor="text1"/>
        </w:rPr>
        <w:t>и др.</w:t>
      </w:r>
      <w:r w:rsidR="00CA4FE2" w:rsidRPr="00AF204C">
        <w:rPr>
          <w:bCs/>
          <w:color w:val="000000" w:themeColor="text1"/>
        </w:rPr>
        <w:t xml:space="preserve"> показатели</w:t>
      </w:r>
      <w:r w:rsidRPr="00AF204C">
        <w:rPr>
          <w:bCs/>
          <w:color w:val="000000" w:themeColor="text1"/>
        </w:rPr>
        <w:t xml:space="preserve"> се публикуват </w:t>
      </w:r>
      <w:r w:rsidR="00CA4FE2" w:rsidRPr="00AF204C">
        <w:rPr>
          <w:bCs/>
          <w:color w:val="000000" w:themeColor="text1"/>
        </w:rPr>
        <w:t>з</w:t>
      </w:r>
      <w:r w:rsidRPr="00AF204C">
        <w:rPr>
          <w:bCs/>
          <w:color w:val="000000" w:themeColor="text1"/>
        </w:rPr>
        <w:t>а всяко тримесечие и са достъпни на адрес</w:t>
      </w:r>
      <w:r w:rsidR="00051837" w:rsidRPr="00AF204C">
        <w:rPr>
          <w:bCs/>
          <w:color w:val="000000" w:themeColor="text1"/>
        </w:rPr>
        <w:t>:</w:t>
      </w:r>
      <w:r w:rsidRPr="00AF204C">
        <w:rPr>
          <w:bCs/>
          <w:color w:val="000000" w:themeColor="text1"/>
        </w:rPr>
        <w:t xml:space="preserve"> </w:t>
      </w:r>
      <w:hyperlink r:id="rId7" w:history="1">
        <w:r w:rsidRPr="00AF204C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AF204C">
        <w:rPr>
          <w:bCs/>
          <w:color w:val="000000" w:themeColor="text1"/>
        </w:rPr>
        <w:t xml:space="preserve"> </w:t>
      </w:r>
    </w:p>
    <w:p w:rsidR="00E47A45" w:rsidRPr="00AF204C" w:rsidRDefault="00605C21" w:rsidP="00BA635D">
      <w:pPr>
        <w:widowControl w:val="0"/>
        <w:spacing w:line="360" w:lineRule="auto"/>
        <w:ind w:left="-142" w:right="-1" w:firstLine="862"/>
        <w:jc w:val="both"/>
        <w:rPr>
          <w:color w:val="FF0000"/>
          <w:lang w:eastAsia="en-US"/>
        </w:rPr>
      </w:pPr>
      <w:r w:rsidRPr="00AF204C">
        <w:rPr>
          <w:b/>
          <w:color w:val="FF0000"/>
          <w:lang w:eastAsia="en-US"/>
        </w:rPr>
        <w:tab/>
      </w:r>
      <w:r w:rsidR="00E47A45" w:rsidRPr="00AF204C">
        <w:rPr>
          <w:color w:val="000000" w:themeColor="text1"/>
          <w:lang w:eastAsia="en-US"/>
        </w:rPr>
        <w:t xml:space="preserve"> </w:t>
      </w:r>
    </w:p>
    <w:p w:rsidR="002E5933" w:rsidRPr="00AF204C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AF204C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AF204C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AF204C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AF204C" w:rsidRDefault="002E5933" w:rsidP="00BA635D">
      <w:pPr>
        <w:tabs>
          <w:tab w:val="left" w:pos="701"/>
        </w:tabs>
        <w:spacing w:line="317" w:lineRule="exact"/>
        <w:ind w:left="-142" w:right="20" w:firstLine="862"/>
        <w:jc w:val="both"/>
      </w:pPr>
    </w:p>
    <w:p w:rsidR="002E5933" w:rsidRPr="00441762" w:rsidRDefault="002E5933" w:rsidP="002E5933">
      <w:pPr>
        <w:tabs>
          <w:tab w:val="left" w:pos="701"/>
        </w:tabs>
        <w:spacing w:line="317" w:lineRule="exact"/>
        <w:ind w:right="20"/>
        <w:jc w:val="both"/>
        <w:rPr>
          <w:lang w:val="ru-RU"/>
        </w:rPr>
      </w:pPr>
    </w:p>
    <w:sectPr w:rsidR="002E5933" w:rsidRPr="00441762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44757"/>
    <w:multiLevelType w:val="hybridMultilevel"/>
    <w:tmpl w:val="56045A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1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6CA36DC5"/>
    <w:multiLevelType w:val="hybridMultilevel"/>
    <w:tmpl w:val="C94850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69E7"/>
    <w:rsid w:val="00016A31"/>
    <w:rsid w:val="000178ED"/>
    <w:rsid w:val="00021F96"/>
    <w:rsid w:val="00026213"/>
    <w:rsid w:val="000327DC"/>
    <w:rsid w:val="00051837"/>
    <w:rsid w:val="000754E8"/>
    <w:rsid w:val="000777C0"/>
    <w:rsid w:val="00082051"/>
    <w:rsid w:val="00091014"/>
    <w:rsid w:val="000A24C5"/>
    <w:rsid w:val="000A7A3A"/>
    <w:rsid w:val="000B76D4"/>
    <w:rsid w:val="000C1B18"/>
    <w:rsid w:val="000C5339"/>
    <w:rsid w:val="000C6CC1"/>
    <w:rsid w:val="000D33ED"/>
    <w:rsid w:val="000F0B67"/>
    <w:rsid w:val="000F12E4"/>
    <w:rsid w:val="000F2B9A"/>
    <w:rsid w:val="000F526E"/>
    <w:rsid w:val="000F7B77"/>
    <w:rsid w:val="001045FD"/>
    <w:rsid w:val="00105005"/>
    <w:rsid w:val="0011544E"/>
    <w:rsid w:val="0012490D"/>
    <w:rsid w:val="00132A7D"/>
    <w:rsid w:val="00137DEF"/>
    <w:rsid w:val="0014460E"/>
    <w:rsid w:val="00151465"/>
    <w:rsid w:val="00152B19"/>
    <w:rsid w:val="00153B75"/>
    <w:rsid w:val="00160994"/>
    <w:rsid w:val="001612F7"/>
    <w:rsid w:val="00162024"/>
    <w:rsid w:val="00164BF9"/>
    <w:rsid w:val="001673D7"/>
    <w:rsid w:val="001720FD"/>
    <w:rsid w:val="001777E7"/>
    <w:rsid w:val="00177C69"/>
    <w:rsid w:val="0018776E"/>
    <w:rsid w:val="001953CC"/>
    <w:rsid w:val="00195FD3"/>
    <w:rsid w:val="001A0D32"/>
    <w:rsid w:val="001A17A0"/>
    <w:rsid w:val="001B175B"/>
    <w:rsid w:val="001B1E7C"/>
    <w:rsid w:val="001B55AE"/>
    <w:rsid w:val="001B5CC1"/>
    <w:rsid w:val="001B7E22"/>
    <w:rsid w:val="001C48EE"/>
    <w:rsid w:val="001D0E88"/>
    <w:rsid w:val="001D37A8"/>
    <w:rsid w:val="001E34D9"/>
    <w:rsid w:val="001E50D5"/>
    <w:rsid w:val="0022168F"/>
    <w:rsid w:val="00223731"/>
    <w:rsid w:val="0023118B"/>
    <w:rsid w:val="002400F9"/>
    <w:rsid w:val="002428AD"/>
    <w:rsid w:val="00244D59"/>
    <w:rsid w:val="002603FC"/>
    <w:rsid w:val="00260A2B"/>
    <w:rsid w:val="0027055E"/>
    <w:rsid w:val="002730C2"/>
    <w:rsid w:val="00286110"/>
    <w:rsid w:val="00293AE4"/>
    <w:rsid w:val="002D5C7C"/>
    <w:rsid w:val="002E5933"/>
    <w:rsid w:val="002F0765"/>
    <w:rsid w:val="002F58D8"/>
    <w:rsid w:val="00331DA8"/>
    <w:rsid w:val="00340DF7"/>
    <w:rsid w:val="0034445E"/>
    <w:rsid w:val="0036235F"/>
    <w:rsid w:val="0037288C"/>
    <w:rsid w:val="00394A6E"/>
    <w:rsid w:val="003A1C44"/>
    <w:rsid w:val="003B5094"/>
    <w:rsid w:val="003D08D0"/>
    <w:rsid w:val="003D2B5C"/>
    <w:rsid w:val="003E1211"/>
    <w:rsid w:val="003F462C"/>
    <w:rsid w:val="00400C58"/>
    <w:rsid w:val="00441762"/>
    <w:rsid w:val="00441F54"/>
    <w:rsid w:val="00443909"/>
    <w:rsid w:val="0044422C"/>
    <w:rsid w:val="00445145"/>
    <w:rsid w:val="00445AD7"/>
    <w:rsid w:val="004678CD"/>
    <w:rsid w:val="00474629"/>
    <w:rsid w:val="0047772F"/>
    <w:rsid w:val="00487FEE"/>
    <w:rsid w:val="004A1839"/>
    <w:rsid w:val="004A3121"/>
    <w:rsid w:val="004A4D54"/>
    <w:rsid w:val="004C0B49"/>
    <w:rsid w:val="004C5ABE"/>
    <w:rsid w:val="004D1EBE"/>
    <w:rsid w:val="004D3AFE"/>
    <w:rsid w:val="004E24ED"/>
    <w:rsid w:val="004E59D5"/>
    <w:rsid w:val="004E6D32"/>
    <w:rsid w:val="004F5F24"/>
    <w:rsid w:val="00505754"/>
    <w:rsid w:val="00514B27"/>
    <w:rsid w:val="00525912"/>
    <w:rsid w:val="00555CCB"/>
    <w:rsid w:val="005A2E31"/>
    <w:rsid w:val="005C2348"/>
    <w:rsid w:val="005C3724"/>
    <w:rsid w:val="005D06D0"/>
    <w:rsid w:val="005F7CC3"/>
    <w:rsid w:val="00605C21"/>
    <w:rsid w:val="00611242"/>
    <w:rsid w:val="00615FF0"/>
    <w:rsid w:val="0062360D"/>
    <w:rsid w:val="00637BE2"/>
    <w:rsid w:val="006473FA"/>
    <w:rsid w:val="006623F5"/>
    <w:rsid w:val="006636D4"/>
    <w:rsid w:val="00666EC3"/>
    <w:rsid w:val="006675A3"/>
    <w:rsid w:val="00671305"/>
    <w:rsid w:val="00676E0F"/>
    <w:rsid w:val="0068318F"/>
    <w:rsid w:val="00690FD7"/>
    <w:rsid w:val="00695D62"/>
    <w:rsid w:val="006A6E42"/>
    <w:rsid w:val="006B636A"/>
    <w:rsid w:val="006B65BD"/>
    <w:rsid w:val="006C029A"/>
    <w:rsid w:val="006C4650"/>
    <w:rsid w:val="006C4867"/>
    <w:rsid w:val="006D75E3"/>
    <w:rsid w:val="006E3935"/>
    <w:rsid w:val="006E6C80"/>
    <w:rsid w:val="006E6CA1"/>
    <w:rsid w:val="006F2480"/>
    <w:rsid w:val="00700936"/>
    <w:rsid w:val="00700F21"/>
    <w:rsid w:val="00701624"/>
    <w:rsid w:val="00701B25"/>
    <w:rsid w:val="00701EC5"/>
    <w:rsid w:val="007054B9"/>
    <w:rsid w:val="00711C42"/>
    <w:rsid w:val="00713F15"/>
    <w:rsid w:val="00715CB4"/>
    <w:rsid w:val="00724C61"/>
    <w:rsid w:val="0072791F"/>
    <w:rsid w:val="00736DA2"/>
    <w:rsid w:val="00740FA6"/>
    <w:rsid w:val="0076646C"/>
    <w:rsid w:val="00791582"/>
    <w:rsid w:val="00794EFB"/>
    <w:rsid w:val="007B4D3D"/>
    <w:rsid w:val="007B4E91"/>
    <w:rsid w:val="007C0669"/>
    <w:rsid w:val="007E554F"/>
    <w:rsid w:val="007E6A3B"/>
    <w:rsid w:val="007F42A7"/>
    <w:rsid w:val="00800229"/>
    <w:rsid w:val="00800CA2"/>
    <w:rsid w:val="00801130"/>
    <w:rsid w:val="0080652D"/>
    <w:rsid w:val="008200A9"/>
    <w:rsid w:val="00822141"/>
    <w:rsid w:val="008365B2"/>
    <w:rsid w:val="008420B3"/>
    <w:rsid w:val="008878E1"/>
    <w:rsid w:val="00894294"/>
    <w:rsid w:val="0089589F"/>
    <w:rsid w:val="008978F0"/>
    <w:rsid w:val="008B0ADF"/>
    <w:rsid w:val="008B43D3"/>
    <w:rsid w:val="008D2C21"/>
    <w:rsid w:val="008D5B07"/>
    <w:rsid w:val="008E71DC"/>
    <w:rsid w:val="00920C51"/>
    <w:rsid w:val="009250BF"/>
    <w:rsid w:val="009266CC"/>
    <w:rsid w:val="009346D2"/>
    <w:rsid w:val="00940068"/>
    <w:rsid w:val="00944837"/>
    <w:rsid w:val="00955E3F"/>
    <w:rsid w:val="00960988"/>
    <w:rsid w:val="0096610F"/>
    <w:rsid w:val="009668C1"/>
    <w:rsid w:val="00966AA8"/>
    <w:rsid w:val="00975A57"/>
    <w:rsid w:val="00977BBB"/>
    <w:rsid w:val="00984EDE"/>
    <w:rsid w:val="009850AC"/>
    <w:rsid w:val="009865B9"/>
    <w:rsid w:val="009A5419"/>
    <w:rsid w:val="009B300D"/>
    <w:rsid w:val="009B4836"/>
    <w:rsid w:val="009C6A73"/>
    <w:rsid w:val="009D1C4A"/>
    <w:rsid w:val="009D397E"/>
    <w:rsid w:val="009E361B"/>
    <w:rsid w:val="009F06C9"/>
    <w:rsid w:val="00A023C0"/>
    <w:rsid w:val="00A307C7"/>
    <w:rsid w:val="00A43B5C"/>
    <w:rsid w:val="00A453CA"/>
    <w:rsid w:val="00A46EA0"/>
    <w:rsid w:val="00A473BF"/>
    <w:rsid w:val="00A5217E"/>
    <w:rsid w:val="00A64CF0"/>
    <w:rsid w:val="00A70961"/>
    <w:rsid w:val="00A72E18"/>
    <w:rsid w:val="00A76F3D"/>
    <w:rsid w:val="00A963E4"/>
    <w:rsid w:val="00A97534"/>
    <w:rsid w:val="00AB5B83"/>
    <w:rsid w:val="00AB6142"/>
    <w:rsid w:val="00AC54AE"/>
    <w:rsid w:val="00AD2F68"/>
    <w:rsid w:val="00AD3CDA"/>
    <w:rsid w:val="00AD7AFA"/>
    <w:rsid w:val="00AE619F"/>
    <w:rsid w:val="00AF204C"/>
    <w:rsid w:val="00B0591C"/>
    <w:rsid w:val="00B21CE9"/>
    <w:rsid w:val="00B331EE"/>
    <w:rsid w:val="00B42553"/>
    <w:rsid w:val="00B5089F"/>
    <w:rsid w:val="00B50D44"/>
    <w:rsid w:val="00B5592B"/>
    <w:rsid w:val="00B60F16"/>
    <w:rsid w:val="00B767D6"/>
    <w:rsid w:val="00BA0E2F"/>
    <w:rsid w:val="00BA0EBF"/>
    <w:rsid w:val="00BA14B3"/>
    <w:rsid w:val="00BA635D"/>
    <w:rsid w:val="00BC2C27"/>
    <w:rsid w:val="00BC38F4"/>
    <w:rsid w:val="00BC7D3D"/>
    <w:rsid w:val="00BE472D"/>
    <w:rsid w:val="00BF2E39"/>
    <w:rsid w:val="00BF32CC"/>
    <w:rsid w:val="00BF3B19"/>
    <w:rsid w:val="00C05932"/>
    <w:rsid w:val="00C14A28"/>
    <w:rsid w:val="00C17A00"/>
    <w:rsid w:val="00C2247C"/>
    <w:rsid w:val="00C26215"/>
    <w:rsid w:val="00C4038F"/>
    <w:rsid w:val="00C43949"/>
    <w:rsid w:val="00C61E18"/>
    <w:rsid w:val="00C67E3F"/>
    <w:rsid w:val="00C700C1"/>
    <w:rsid w:val="00C82649"/>
    <w:rsid w:val="00C91CA0"/>
    <w:rsid w:val="00C94488"/>
    <w:rsid w:val="00C9702E"/>
    <w:rsid w:val="00CA047F"/>
    <w:rsid w:val="00CA0A60"/>
    <w:rsid w:val="00CA4FE2"/>
    <w:rsid w:val="00CB3BB6"/>
    <w:rsid w:val="00CB4487"/>
    <w:rsid w:val="00CC1ABC"/>
    <w:rsid w:val="00CC287B"/>
    <w:rsid w:val="00CC7856"/>
    <w:rsid w:val="00CD087C"/>
    <w:rsid w:val="00CD584B"/>
    <w:rsid w:val="00CD65C0"/>
    <w:rsid w:val="00CE09DF"/>
    <w:rsid w:val="00CE1FFD"/>
    <w:rsid w:val="00CE232D"/>
    <w:rsid w:val="00CE4998"/>
    <w:rsid w:val="00D0448C"/>
    <w:rsid w:val="00D0486D"/>
    <w:rsid w:val="00D13F93"/>
    <w:rsid w:val="00D1790E"/>
    <w:rsid w:val="00D22490"/>
    <w:rsid w:val="00D264A5"/>
    <w:rsid w:val="00D41048"/>
    <w:rsid w:val="00D42F83"/>
    <w:rsid w:val="00D46F50"/>
    <w:rsid w:val="00D47BA8"/>
    <w:rsid w:val="00D57676"/>
    <w:rsid w:val="00D621FC"/>
    <w:rsid w:val="00D720F5"/>
    <w:rsid w:val="00D744D8"/>
    <w:rsid w:val="00D74A4E"/>
    <w:rsid w:val="00D8110A"/>
    <w:rsid w:val="00D91954"/>
    <w:rsid w:val="00D963E2"/>
    <w:rsid w:val="00DA36BF"/>
    <w:rsid w:val="00DB410B"/>
    <w:rsid w:val="00DB47BC"/>
    <w:rsid w:val="00DC0010"/>
    <w:rsid w:val="00DD05E4"/>
    <w:rsid w:val="00DD5544"/>
    <w:rsid w:val="00DF7A46"/>
    <w:rsid w:val="00E02C86"/>
    <w:rsid w:val="00E353FD"/>
    <w:rsid w:val="00E43612"/>
    <w:rsid w:val="00E43B86"/>
    <w:rsid w:val="00E47A45"/>
    <w:rsid w:val="00E517FC"/>
    <w:rsid w:val="00E85FE5"/>
    <w:rsid w:val="00EA39FB"/>
    <w:rsid w:val="00EA7C0F"/>
    <w:rsid w:val="00EB1FA0"/>
    <w:rsid w:val="00EB37EB"/>
    <w:rsid w:val="00EB490A"/>
    <w:rsid w:val="00EC5113"/>
    <w:rsid w:val="00EC7062"/>
    <w:rsid w:val="00ED08DF"/>
    <w:rsid w:val="00ED4478"/>
    <w:rsid w:val="00F0274B"/>
    <w:rsid w:val="00F05480"/>
    <w:rsid w:val="00F0781E"/>
    <w:rsid w:val="00F2135E"/>
    <w:rsid w:val="00F47898"/>
    <w:rsid w:val="00F5265D"/>
    <w:rsid w:val="00F533A1"/>
    <w:rsid w:val="00F57158"/>
    <w:rsid w:val="00F60085"/>
    <w:rsid w:val="00F61ED8"/>
    <w:rsid w:val="00F62CDC"/>
    <w:rsid w:val="00F76E6F"/>
    <w:rsid w:val="00F87A78"/>
    <w:rsid w:val="00F93228"/>
    <w:rsid w:val="00FA5B36"/>
    <w:rsid w:val="00FC2946"/>
    <w:rsid w:val="00FC3989"/>
    <w:rsid w:val="00FD0109"/>
    <w:rsid w:val="00FE392E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4896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rsid w:val="00164BF9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Reports?orgId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3C1A-FBAD-47E2-90E4-8C6A0C5D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Mariya Angelova</cp:lastModifiedBy>
  <cp:revision>434</cp:revision>
  <cp:lastPrinted>2024-01-17T08:47:00Z</cp:lastPrinted>
  <dcterms:created xsi:type="dcterms:W3CDTF">2021-01-18T07:29:00Z</dcterms:created>
  <dcterms:modified xsi:type="dcterms:W3CDTF">2024-01-17T08:47:00Z</dcterms:modified>
</cp:coreProperties>
</file>