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0A" w:rsidRPr="00304CFC" w:rsidRDefault="00F23E0A">
      <w:pPr>
        <w:spacing w:after="323" w:line="259" w:lineRule="auto"/>
        <w:ind w:left="52" w:right="0" w:firstLine="0"/>
        <w:jc w:val="center"/>
        <w:rPr>
          <w:lang w:val="bg-BG"/>
        </w:rPr>
      </w:pPr>
    </w:p>
    <w:p w:rsidR="00F23E0A" w:rsidRPr="00304CFC" w:rsidRDefault="00014794">
      <w:pPr>
        <w:pStyle w:val="Heading1"/>
        <w:rPr>
          <w:lang w:val="bg-BG"/>
        </w:rPr>
      </w:pPr>
      <w:r w:rsidRPr="00304CFC">
        <w:rPr>
          <w:lang w:val="bg-BG"/>
        </w:rPr>
        <w:t xml:space="preserve">УКАЗАНИЕ </w:t>
      </w:r>
    </w:p>
    <w:p w:rsidR="00F23E0A" w:rsidRPr="00304CFC" w:rsidRDefault="00014794">
      <w:pPr>
        <w:spacing w:after="0" w:line="259" w:lineRule="auto"/>
        <w:ind w:left="117" w:right="0" w:firstLine="0"/>
        <w:jc w:val="center"/>
        <w:rPr>
          <w:lang w:val="bg-BG"/>
        </w:rPr>
      </w:pPr>
      <w:r w:rsidRPr="00304CFC">
        <w:rPr>
          <w:b/>
          <w:sz w:val="50"/>
          <w:lang w:val="bg-BG"/>
        </w:rPr>
        <w:t xml:space="preserve"> </w:t>
      </w:r>
    </w:p>
    <w:p w:rsidR="00F23E0A" w:rsidRPr="00304CFC" w:rsidRDefault="00014794">
      <w:pPr>
        <w:spacing w:after="0" w:line="259" w:lineRule="auto"/>
        <w:ind w:left="10" w:hanging="10"/>
        <w:jc w:val="center"/>
        <w:rPr>
          <w:lang w:val="bg-BG"/>
        </w:rPr>
      </w:pPr>
      <w:r w:rsidRPr="00304CFC">
        <w:rPr>
          <w:b/>
          <w:sz w:val="36"/>
          <w:lang w:val="bg-BG"/>
        </w:rPr>
        <w:t xml:space="preserve">ЗА ПОПЪЛВАНЕ НА ЕДИННА ЕЛЕКТРОННА </w:t>
      </w:r>
    </w:p>
    <w:p w:rsidR="00F23E0A" w:rsidRPr="00304CFC" w:rsidRDefault="00014794">
      <w:pPr>
        <w:spacing w:after="0" w:line="259" w:lineRule="auto"/>
        <w:ind w:left="194" w:right="0" w:hanging="10"/>
        <w:jc w:val="left"/>
        <w:rPr>
          <w:lang w:val="bg-BG"/>
        </w:rPr>
      </w:pPr>
      <w:r w:rsidRPr="00304CFC">
        <w:rPr>
          <w:b/>
          <w:sz w:val="36"/>
          <w:lang w:val="bg-BG"/>
        </w:rPr>
        <w:t xml:space="preserve">ОТЧЕТНА ФОРМА ЗА ЛЕЧЕБНИТЕ ЗАВЕДЕНИЯ ЗА </w:t>
      </w:r>
    </w:p>
    <w:p w:rsidR="00F23E0A" w:rsidRPr="00304CFC" w:rsidRDefault="00014794">
      <w:pPr>
        <w:spacing w:after="40" w:line="259" w:lineRule="auto"/>
        <w:ind w:left="194" w:right="0" w:hanging="10"/>
        <w:jc w:val="left"/>
        <w:rPr>
          <w:lang w:val="bg-BG"/>
        </w:rPr>
      </w:pPr>
      <w:r w:rsidRPr="00304CFC">
        <w:rPr>
          <w:b/>
          <w:sz w:val="36"/>
          <w:lang w:val="bg-BG"/>
        </w:rPr>
        <w:t xml:space="preserve">БОЛНИЧНА ПОМОЩ С НАД 50 НА СТО ДЪРЖАВНО </w:t>
      </w:r>
    </w:p>
    <w:p w:rsidR="00F23E0A" w:rsidRPr="00304CFC" w:rsidRDefault="00014794">
      <w:pPr>
        <w:spacing w:after="0" w:line="259" w:lineRule="auto"/>
        <w:ind w:left="10" w:right="7" w:hanging="10"/>
        <w:jc w:val="center"/>
        <w:rPr>
          <w:lang w:val="bg-BG"/>
        </w:rPr>
      </w:pPr>
      <w:r w:rsidRPr="00304CFC">
        <w:rPr>
          <w:b/>
          <w:sz w:val="36"/>
          <w:lang w:val="bg-BG"/>
        </w:rPr>
        <w:t xml:space="preserve">УЧАСТИЕ В КАПИТАЛА </w:t>
      </w:r>
    </w:p>
    <w:p w:rsidR="00F23E0A" w:rsidRDefault="00F23E0A" w:rsidP="00151082">
      <w:pPr>
        <w:spacing w:after="0" w:line="259" w:lineRule="auto"/>
        <w:ind w:left="52" w:right="0" w:firstLine="0"/>
        <w:jc w:val="center"/>
        <w:rPr>
          <w:b/>
          <w:lang w:val="bg-BG"/>
        </w:rPr>
      </w:pPr>
    </w:p>
    <w:p w:rsidR="00151082" w:rsidRPr="00304CFC" w:rsidRDefault="00151082" w:rsidP="00151082">
      <w:pPr>
        <w:spacing w:after="0" w:line="259" w:lineRule="auto"/>
        <w:ind w:left="52" w:right="0" w:firstLine="0"/>
        <w:jc w:val="center"/>
        <w:rPr>
          <w:lang w:val="bg-BG"/>
        </w:rPr>
      </w:pPr>
    </w:p>
    <w:p w:rsidR="007208EB" w:rsidRPr="00304CFC" w:rsidRDefault="00014794" w:rsidP="007208EB">
      <w:pPr>
        <w:ind w:left="-15" w:right="0"/>
        <w:rPr>
          <w:lang w:val="bg-BG"/>
        </w:rPr>
      </w:pPr>
      <w:r w:rsidRPr="00304CFC">
        <w:rPr>
          <w:lang w:val="bg-BG"/>
        </w:rPr>
        <w:t>Настоящият формуляр обединява в една отчетна форма всички регулярни отчети към МЗ, касаещи общи стойностни и натурални показатели на дейността на лечебното заведение. Той се попълва всяко тримесечие в сроковете</w:t>
      </w:r>
      <w:r w:rsidR="007208EB">
        <w:rPr>
          <w:lang w:val="bg-BG"/>
        </w:rPr>
        <w:t>, съгласно чл. 42 от</w:t>
      </w:r>
      <w:r w:rsidRPr="00304CFC">
        <w:rPr>
          <w:lang w:val="bg-BG"/>
        </w:rPr>
        <w:t xml:space="preserve"> </w:t>
      </w:r>
      <w:r w:rsidR="007208EB" w:rsidRPr="007208EB">
        <w:rPr>
          <w:lang w:val="bg-BG"/>
        </w:rPr>
        <w:t>Н</w:t>
      </w:r>
      <w:r w:rsidR="007208EB">
        <w:rPr>
          <w:lang w:val="bg-BG"/>
        </w:rPr>
        <w:t>аредба</w:t>
      </w:r>
      <w:r w:rsidR="007208EB" w:rsidRPr="007208EB">
        <w:rPr>
          <w:lang w:val="bg-BG"/>
        </w:rPr>
        <w:t xml:space="preserve"> № 5 от 17 юни 2019 г.</w:t>
      </w:r>
      <w:r w:rsidR="007208EB">
        <w:rPr>
          <w:lang w:val="bg-BG"/>
        </w:rPr>
        <w:t xml:space="preserve"> </w:t>
      </w:r>
      <w:r w:rsidR="007208EB" w:rsidRPr="007208EB">
        <w:rPr>
          <w:lang w:val="bg-BG"/>
        </w:rPr>
        <w:t>за утвърждаване на стандарти за финансова дейност, прилагани от държавните и общинските лечебни заведения за болнична помощ и комплексни онкологични</w:t>
      </w:r>
      <w:r w:rsidRPr="00304CFC">
        <w:rPr>
          <w:lang w:val="bg-BG"/>
        </w:rPr>
        <w:t xml:space="preserve"> </w:t>
      </w:r>
      <w:r w:rsidR="007208EB">
        <w:rPr>
          <w:lang w:val="bg-BG"/>
        </w:rPr>
        <w:t>центрове</w:t>
      </w:r>
      <w:r w:rsidR="007D5D47">
        <w:t xml:space="preserve"> </w:t>
      </w:r>
      <w:r w:rsidR="007D5D47" w:rsidRPr="007D5D47">
        <w:rPr>
          <w:lang w:val="bg-BG"/>
        </w:rPr>
        <w:t>(ДВ бр.51 от 18.6.2019).</w:t>
      </w:r>
      <w:r w:rsidR="007208EB" w:rsidRPr="007208EB">
        <w:t xml:space="preserve"> </w:t>
      </w:r>
      <w:r w:rsidR="007208EB" w:rsidRPr="007208EB">
        <w:rPr>
          <w:lang w:val="bg-BG"/>
        </w:rPr>
        <w:t xml:space="preserve">Данните, </w:t>
      </w:r>
      <w:r w:rsidR="00190879">
        <w:rPr>
          <w:lang w:val="bg-BG"/>
        </w:rPr>
        <w:t>попълнени в единната електронна отчетна форма</w:t>
      </w:r>
      <w:r w:rsidR="007208EB" w:rsidRPr="007208EB">
        <w:rPr>
          <w:lang w:val="bg-BG"/>
        </w:rPr>
        <w:t xml:space="preserve"> трябва да съответстват на данните от отчети</w:t>
      </w:r>
      <w:r w:rsidR="00190879">
        <w:rPr>
          <w:lang w:val="bg-BG"/>
        </w:rPr>
        <w:t>те, предоставени</w:t>
      </w:r>
      <w:r w:rsidR="007208EB" w:rsidRPr="007208EB">
        <w:rPr>
          <w:lang w:val="bg-BG"/>
        </w:rPr>
        <w:t xml:space="preserve"> по </w:t>
      </w:r>
      <w:r w:rsidR="00CC0E28">
        <w:rPr>
          <w:lang w:val="bg-BG"/>
        </w:rPr>
        <w:t xml:space="preserve">чл. 14 от Правилника за прилагане на закона за публичните предприятия </w:t>
      </w:r>
      <w:r w:rsidR="007208EB" w:rsidRPr="007208EB">
        <w:rPr>
          <w:lang w:val="bg-BG"/>
        </w:rPr>
        <w:t xml:space="preserve">(ДВ, бр. </w:t>
      </w:r>
      <w:r w:rsidR="00CC0E28" w:rsidRPr="007208EB">
        <w:rPr>
          <w:lang w:val="bg-BG"/>
        </w:rPr>
        <w:t>4</w:t>
      </w:r>
      <w:r w:rsidR="00CC0E28">
        <w:rPr>
          <w:lang w:val="bg-BG"/>
        </w:rPr>
        <w:t>0</w:t>
      </w:r>
      <w:r w:rsidR="00CC0E28" w:rsidRPr="007208EB">
        <w:rPr>
          <w:lang w:val="bg-BG"/>
        </w:rPr>
        <w:t xml:space="preserve"> </w:t>
      </w:r>
      <w:r w:rsidR="007208EB" w:rsidRPr="007208EB">
        <w:rPr>
          <w:lang w:val="bg-BG"/>
        </w:rPr>
        <w:t>от 20</w:t>
      </w:r>
      <w:r w:rsidR="00CC0E28">
        <w:rPr>
          <w:lang w:val="bg-BG"/>
        </w:rPr>
        <w:t>20</w:t>
      </w:r>
      <w:r w:rsidR="007208EB" w:rsidRPr="007208EB">
        <w:rPr>
          <w:lang w:val="bg-BG"/>
        </w:rPr>
        <w:t xml:space="preserve"> г.).</w:t>
      </w:r>
    </w:p>
    <w:p w:rsidR="00F23E0A" w:rsidRPr="00304CFC" w:rsidRDefault="00F23E0A">
      <w:pPr>
        <w:spacing w:after="25" w:line="259" w:lineRule="auto"/>
        <w:ind w:left="852" w:right="0" w:firstLine="0"/>
        <w:jc w:val="left"/>
        <w:rPr>
          <w:lang w:val="bg-BG"/>
        </w:rPr>
      </w:pPr>
    </w:p>
    <w:p w:rsidR="00F23E0A" w:rsidRDefault="00014794">
      <w:pPr>
        <w:spacing w:after="0" w:line="259" w:lineRule="auto"/>
        <w:ind w:left="10" w:right="9" w:hanging="10"/>
        <w:jc w:val="center"/>
        <w:rPr>
          <w:b/>
          <w:lang w:val="bg-BG"/>
        </w:rPr>
      </w:pPr>
      <w:r w:rsidRPr="00304CFC">
        <w:rPr>
          <w:b/>
          <w:lang w:val="bg-BG"/>
        </w:rPr>
        <w:t xml:space="preserve">ОСНОВНИ ПРИНЦИПИ НА ПОПЪЛВАНЕ НА ФОРМУЛЯРА: </w:t>
      </w:r>
    </w:p>
    <w:p w:rsidR="00190879" w:rsidRPr="00304CFC" w:rsidRDefault="00190879">
      <w:pPr>
        <w:spacing w:after="0" w:line="259" w:lineRule="auto"/>
        <w:ind w:left="10" w:right="9" w:hanging="10"/>
        <w:jc w:val="center"/>
        <w:rPr>
          <w:lang w:val="bg-BG"/>
        </w:rPr>
      </w:pPr>
    </w:p>
    <w:p w:rsidR="00F23E0A" w:rsidRPr="00304CFC" w:rsidRDefault="00014794">
      <w:pPr>
        <w:numPr>
          <w:ilvl w:val="0"/>
          <w:numId w:val="1"/>
        </w:numPr>
        <w:ind w:right="0"/>
        <w:rPr>
          <w:lang w:val="bg-BG"/>
        </w:rPr>
      </w:pPr>
      <w:r w:rsidRPr="00304CFC">
        <w:rPr>
          <w:lang w:val="bg-BG"/>
        </w:rPr>
        <w:t>Файловете са в M</w:t>
      </w:r>
      <w:r w:rsidR="000D4D8D">
        <w:t>S</w:t>
      </w:r>
      <w:r w:rsidRPr="00304CFC">
        <w:rPr>
          <w:lang w:val="bg-BG"/>
        </w:rPr>
        <w:t xml:space="preserve"> Excel формат и не следва да бъдат променяни, като формат и формуляр. </w:t>
      </w:r>
    </w:p>
    <w:p w:rsidR="00F23E0A" w:rsidRPr="00304CFC" w:rsidRDefault="00014794">
      <w:pPr>
        <w:numPr>
          <w:ilvl w:val="0"/>
          <w:numId w:val="1"/>
        </w:numPr>
        <w:ind w:right="0"/>
        <w:rPr>
          <w:lang w:val="bg-BG"/>
        </w:rPr>
      </w:pPr>
      <w:r w:rsidRPr="00304CFC">
        <w:rPr>
          <w:lang w:val="bg-BG"/>
        </w:rPr>
        <w:t>Попълнените отчети се зарежда</w:t>
      </w:r>
      <w:r w:rsidR="00F53623">
        <w:rPr>
          <w:lang w:val="bg-BG"/>
        </w:rPr>
        <w:t>т</w:t>
      </w:r>
      <w:r w:rsidRPr="00304CFC">
        <w:rPr>
          <w:lang w:val="bg-BG"/>
        </w:rPr>
        <w:t xml:space="preserve"> на </w:t>
      </w:r>
      <w:r w:rsidR="000D4D8D">
        <w:rPr>
          <w:lang w:val="bg-BG"/>
        </w:rPr>
        <w:t xml:space="preserve">уеб базирана платформа </w:t>
      </w:r>
      <w:r w:rsidR="000D4D8D">
        <w:t xml:space="preserve">mzreporting.io </w:t>
      </w:r>
      <w:r w:rsidR="000D4D8D">
        <w:rPr>
          <w:lang w:val="bg-BG"/>
        </w:rPr>
        <w:t>от упълномощено от лечебното заведение лице</w:t>
      </w:r>
      <w:r w:rsidRPr="00304CFC">
        <w:rPr>
          <w:lang w:val="bg-BG"/>
        </w:rPr>
        <w:t xml:space="preserve">, но само при отсъствие на съобщение за грешка, при коя да е от предвидените във формуляра контроли и при наличие на верифициращ верността им електронен подпис на представляващия </w:t>
      </w:r>
      <w:r w:rsidR="00E163EE" w:rsidRPr="00304CFC">
        <w:rPr>
          <w:lang w:val="bg-BG"/>
        </w:rPr>
        <w:t xml:space="preserve">лечебното заведение за болнична помощ </w:t>
      </w:r>
      <w:r w:rsidRPr="00304CFC">
        <w:rPr>
          <w:lang w:val="bg-BG"/>
        </w:rPr>
        <w:t xml:space="preserve">и на главния счетоводител. </w:t>
      </w:r>
    </w:p>
    <w:p w:rsidR="00126403" w:rsidRDefault="00014794" w:rsidP="00126403">
      <w:pPr>
        <w:numPr>
          <w:ilvl w:val="0"/>
          <w:numId w:val="1"/>
        </w:numPr>
        <w:ind w:right="0"/>
        <w:rPr>
          <w:lang w:val="bg-BG"/>
        </w:rPr>
      </w:pPr>
      <w:r w:rsidRPr="00304CFC">
        <w:rPr>
          <w:lang w:val="bg-BG"/>
        </w:rPr>
        <w:t xml:space="preserve">Файловете се </w:t>
      </w:r>
      <w:r w:rsidR="00304CFC" w:rsidRPr="00304CFC">
        <w:rPr>
          <w:lang w:val="bg-BG"/>
        </w:rPr>
        <w:t>именуват</w:t>
      </w:r>
      <w:r w:rsidRPr="00304CFC">
        <w:rPr>
          <w:lang w:val="bg-BG"/>
        </w:rPr>
        <w:t xml:space="preserve"> и </w:t>
      </w:r>
      <w:r w:rsidR="00304CFC" w:rsidRPr="00304CFC">
        <w:rPr>
          <w:lang w:val="bg-BG"/>
        </w:rPr>
        <w:t>компресират</w:t>
      </w:r>
      <w:r w:rsidRPr="00304CFC">
        <w:rPr>
          <w:lang w:val="bg-BG"/>
        </w:rPr>
        <w:t xml:space="preserve"> по следния алгоритъм:</w:t>
      </w:r>
    </w:p>
    <w:p w:rsidR="00F23E0A" w:rsidRDefault="00126403" w:rsidP="006644D8">
      <w:pPr>
        <w:pStyle w:val="ListParagraph"/>
        <w:numPr>
          <w:ilvl w:val="0"/>
          <w:numId w:val="7"/>
        </w:numPr>
        <w:ind w:right="0"/>
        <w:rPr>
          <w:lang w:val="bg-BG"/>
        </w:rPr>
      </w:pPr>
      <w:r>
        <w:rPr>
          <w:lang w:val="bg-BG"/>
        </w:rPr>
        <w:t>За отчети за първо, второ и трето тримесечие на съответната година -</w:t>
      </w:r>
      <w:r w:rsidR="00014794" w:rsidRPr="00126403">
        <w:rPr>
          <w:lang w:val="bg-BG"/>
        </w:rPr>
        <w:t xml:space="preserve"> YYYY-</w:t>
      </w:r>
      <w:r>
        <w:t>Q</w:t>
      </w:r>
      <w:r w:rsidR="00014794" w:rsidRPr="00126403">
        <w:rPr>
          <w:lang w:val="bg-BG"/>
        </w:rPr>
        <w:t xml:space="preserve">-EIKEIKEIK, където: YYYY – година на крайната дата на отчета/програмата; </w:t>
      </w:r>
      <w:r>
        <w:t>Q</w:t>
      </w:r>
      <w:r w:rsidRPr="00126403">
        <w:rPr>
          <w:lang w:val="bg-BG"/>
        </w:rPr>
        <w:t xml:space="preserve"> </w:t>
      </w:r>
      <w:r w:rsidR="00014794" w:rsidRPr="00126403">
        <w:rPr>
          <w:lang w:val="bg-BG"/>
        </w:rPr>
        <w:t xml:space="preserve">– </w:t>
      </w:r>
      <w:r>
        <w:rPr>
          <w:lang w:val="bg-BG"/>
        </w:rPr>
        <w:t>номерът на съответното тримесечие (1, 2 или 3);</w:t>
      </w:r>
      <w:r w:rsidR="00014794" w:rsidRPr="00126403">
        <w:rPr>
          <w:lang w:val="bg-BG"/>
        </w:rPr>
        <w:t xml:space="preserve">EIKEIKEIK-ЕИК на </w:t>
      </w:r>
      <w:r w:rsidR="00E163EE" w:rsidRPr="00126403">
        <w:rPr>
          <w:lang w:val="bg-BG"/>
        </w:rPr>
        <w:t>лечебното заведение за болнична помощ</w:t>
      </w:r>
      <w:r w:rsidR="00014794" w:rsidRPr="00126403">
        <w:rPr>
          <w:lang w:val="bg-BG"/>
        </w:rPr>
        <w:t xml:space="preserve"> (</w:t>
      </w:r>
      <w:r w:rsidR="00304CFC" w:rsidRPr="00126403">
        <w:rPr>
          <w:lang w:val="bg-BG"/>
        </w:rPr>
        <w:t>девет цифров</w:t>
      </w:r>
      <w:r w:rsidR="00014794" w:rsidRPr="00126403">
        <w:rPr>
          <w:lang w:val="bg-BG"/>
        </w:rPr>
        <w:t xml:space="preserve">). </w:t>
      </w:r>
    </w:p>
    <w:p w:rsidR="00126403" w:rsidRPr="00126403" w:rsidRDefault="00126403" w:rsidP="006644D8">
      <w:pPr>
        <w:pStyle w:val="ListParagraph"/>
        <w:numPr>
          <w:ilvl w:val="0"/>
          <w:numId w:val="7"/>
        </w:numPr>
        <w:ind w:right="0"/>
        <w:rPr>
          <w:lang w:val="bg-BG"/>
        </w:rPr>
      </w:pPr>
      <w:r>
        <w:rPr>
          <w:lang w:val="bg-BG"/>
        </w:rPr>
        <w:t xml:space="preserve">За отчети към края на съответната година – </w:t>
      </w:r>
      <w:r>
        <w:t>T-</w:t>
      </w:r>
      <w:r>
        <w:rPr>
          <w:lang w:val="bg-BG"/>
        </w:rPr>
        <w:t>YYYY</w:t>
      </w:r>
      <w:r w:rsidRPr="00126403">
        <w:rPr>
          <w:lang w:val="bg-BG"/>
        </w:rPr>
        <w:t xml:space="preserve">-EIKEIKEIK, където: YYYY – година на крайната дата на отчета/програмата; </w:t>
      </w:r>
      <w:r>
        <w:t>T</w:t>
      </w:r>
      <w:r w:rsidRPr="00126403">
        <w:rPr>
          <w:lang w:val="bg-BG"/>
        </w:rPr>
        <w:t xml:space="preserve"> –</w:t>
      </w:r>
      <w:r>
        <w:rPr>
          <w:lang w:val="bg-BG"/>
        </w:rPr>
        <w:t xml:space="preserve"> типът на отчета – </w:t>
      </w:r>
      <w:r>
        <w:t xml:space="preserve">“p” </w:t>
      </w:r>
      <w:r>
        <w:rPr>
          <w:lang w:val="bg-BG"/>
        </w:rPr>
        <w:t xml:space="preserve">за предварителен и </w:t>
      </w:r>
      <w:r>
        <w:t xml:space="preserve">“f” </w:t>
      </w:r>
      <w:r>
        <w:rPr>
          <w:lang w:val="bg-BG"/>
        </w:rPr>
        <w:t>за окончателен годишен отчет</w:t>
      </w:r>
      <w:r w:rsidRPr="00126403">
        <w:rPr>
          <w:lang w:val="bg-BG"/>
        </w:rPr>
        <w:t>; EIKEIKEIK-ЕИК на лечебното заведение за болнична помощ (девет цифров).</w:t>
      </w:r>
    </w:p>
    <w:p w:rsidR="00F23E0A" w:rsidRPr="00304CFC" w:rsidRDefault="00014794">
      <w:pPr>
        <w:numPr>
          <w:ilvl w:val="0"/>
          <w:numId w:val="1"/>
        </w:numPr>
        <w:ind w:right="0"/>
        <w:rPr>
          <w:lang w:val="bg-BG"/>
        </w:rPr>
      </w:pPr>
      <w:r w:rsidRPr="00304CFC">
        <w:rPr>
          <w:lang w:val="bg-BG"/>
        </w:rPr>
        <w:t>Отключени за попълване са маркираните в синьо клетки на формулярите. Отключени за избор от падащо меню са марки</w:t>
      </w:r>
      <w:r w:rsidRPr="008E620B">
        <w:rPr>
          <w:lang w:val="bg-BG"/>
        </w:rPr>
        <w:t xml:space="preserve">раните </w:t>
      </w:r>
      <w:r w:rsidR="00B40BF6">
        <w:rPr>
          <w:lang w:val="bg-BG"/>
        </w:rPr>
        <w:t>в</w:t>
      </w:r>
      <w:r w:rsidR="008E620B" w:rsidRPr="008E620B">
        <w:rPr>
          <w:lang w:val="bg-BG"/>
        </w:rPr>
        <w:t xml:space="preserve"> </w:t>
      </w:r>
      <w:r w:rsidRPr="008E620B">
        <w:rPr>
          <w:lang w:val="bg-BG"/>
        </w:rPr>
        <w:t>зелено клетки</w:t>
      </w:r>
      <w:r w:rsidRPr="00304CFC">
        <w:rPr>
          <w:lang w:val="bg-BG"/>
        </w:rPr>
        <w:t xml:space="preserve"> на формулярите, </w:t>
      </w:r>
      <w:r w:rsidRPr="00304CFC">
        <w:rPr>
          <w:lang w:val="bg-BG"/>
        </w:rPr>
        <w:lastRenderedPageBreak/>
        <w:t xml:space="preserve">останалите клетки се калкулират на тяхна база автоматично и не могат да бъдат променяни като стойности и/или алгоритъм. Ползваният алгоритъмът при тяхното изчисление е достъпен на лентата за въвеждане на формули в Excel. </w:t>
      </w:r>
    </w:p>
    <w:p w:rsidR="00F23E0A" w:rsidRPr="00304CFC" w:rsidRDefault="00014794">
      <w:pPr>
        <w:numPr>
          <w:ilvl w:val="0"/>
          <w:numId w:val="1"/>
        </w:numPr>
        <w:ind w:right="0"/>
        <w:rPr>
          <w:lang w:val="bg-BG"/>
        </w:rPr>
      </w:pPr>
      <w:r w:rsidRPr="00304CFC">
        <w:rPr>
          <w:lang w:val="bg-BG"/>
        </w:rPr>
        <w:t xml:space="preserve">Когато лечебното заведение не отчита стойности по предвиденият показател се вписва „0” </w:t>
      </w:r>
    </w:p>
    <w:p w:rsidR="00F23E0A" w:rsidRPr="00304CFC" w:rsidRDefault="00014794">
      <w:pPr>
        <w:numPr>
          <w:ilvl w:val="0"/>
          <w:numId w:val="1"/>
        </w:numPr>
        <w:ind w:right="0"/>
        <w:rPr>
          <w:lang w:val="bg-BG"/>
        </w:rPr>
      </w:pPr>
      <w:r w:rsidRPr="00304CFC">
        <w:rPr>
          <w:lang w:val="bg-BG"/>
        </w:rPr>
        <w:t>Таблици с номера:</w:t>
      </w:r>
      <w:r w:rsidR="00E163EE" w:rsidRPr="00304CFC">
        <w:rPr>
          <w:lang w:val="bg-BG"/>
        </w:rPr>
        <w:t xml:space="preserve"> </w:t>
      </w:r>
      <w:r w:rsidRPr="00304CFC">
        <w:rPr>
          <w:lang w:val="bg-BG"/>
        </w:rPr>
        <w:t>Т01, Т02, Т03, Т05, Т06, Т10, Т11 се изготвят като индивидуален и консолидира</w:t>
      </w:r>
      <w:r w:rsidR="000D4D8D">
        <w:rPr>
          <w:lang w:val="bg-BG"/>
        </w:rPr>
        <w:t>н</w:t>
      </w:r>
      <w:r w:rsidRPr="00304CFC">
        <w:rPr>
          <w:lang w:val="bg-BG"/>
        </w:rPr>
        <w:t xml:space="preserve"> отчет, когато лечебното заведение има дъщерни предприятия, останалите таблици се попълват само за </w:t>
      </w:r>
      <w:r w:rsidR="00E163EE" w:rsidRPr="00304CFC">
        <w:rPr>
          <w:lang w:val="bg-BG"/>
        </w:rPr>
        <w:t>лечебното заведение</w:t>
      </w:r>
      <w:r w:rsidRPr="00304CFC">
        <w:rPr>
          <w:lang w:val="bg-BG"/>
        </w:rPr>
        <w:t xml:space="preserve">. </w:t>
      </w:r>
    </w:p>
    <w:p w:rsidR="00F23E0A" w:rsidRPr="00D4142A" w:rsidRDefault="00014794" w:rsidP="00E72620">
      <w:pPr>
        <w:numPr>
          <w:ilvl w:val="0"/>
          <w:numId w:val="1"/>
        </w:numPr>
        <w:ind w:right="0"/>
        <w:rPr>
          <w:lang w:val="bg-BG"/>
        </w:rPr>
      </w:pPr>
      <w:r w:rsidRPr="00D4142A">
        <w:rPr>
          <w:lang w:val="bg-BG"/>
        </w:rPr>
        <w:t xml:space="preserve">Таблиците са разположени по листове, както следва: Лист „0“, Съдържа данни за лечебното заведение и консолидираните дружества в отчета/плана му, както и списък на таблиците с маркер за статусът им при попълване (в макета са заложени логически контроли за съответствие между показателите в различни таблици). От падащо меню се избира съответния ЕИК (или се изписва), аналогично се избира края на отчетния период, наименованията на таблиците се актуализират автоматично, съобразно избраните стойности. Вписват се изискваните данни за дъщерни дружества и се посочва видът им, когато има такива. </w:t>
      </w:r>
      <w:r w:rsidR="007D5D47" w:rsidRPr="00D4142A">
        <w:rPr>
          <w:lang w:val="bg-BG"/>
        </w:rPr>
        <w:t>В</w:t>
      </w:r>
      <w:r w:rsidRPr="00D4142A">
        <w:rPr>
          <w:lang w:val="bg-BG"/>
        </w:rPr>
        <w:t xml:space="preserve"> случай на несъответствие се изписва съобщение за грешка</w:t>
      </w:r>
      <w:r w:rsidR="007D5D47" w:rsidRPr="00D4142A">
        <w:rPr>
          <w:lang w:val="bg-BG"/>
        </w:rPr>
        <w:t xml:space="preserve"> в предвидените контролни клетки</w:t>
      </w:r>
      <w:r w:rsidRPr="00D4142A">
        <w:rPr>
          <w:lang w:val="bg-BG"/>
        </w:rPr>
        <w:t xml:space="preserve">. Формулата адресира алгоритъмът на търсеното съответствие и то лесно може да бъде проследено, съответно грешката да бъде коригирана. </w:t>
      </w:r>
    </w:p>
    <w:p w:rsidR="00F23E0A" w:rsidRDefault="00014794">
      <w:pPr>
        <w:numPr>
          <w:ilvl w:val="0"/>
          <w:numId w:val="1"/>
        </w:numPr>
        <w:ind w:right="0"/>
        <w:rPr>
          <w:lang w:val="bg-BG"/>
        </w:rPr>
      </w:pPr>
      <w:r w:rsidRPr="00304CFC">
        <w:rPr>
          <w:lang w:val="bg-BG"/>
        </w:rPr>
        <w:t xml:space="preserve">За коректното, бързо и автоматизирано попълване на формуляра се изисква поддържане на необходимата аналитичност в сметкоплана на дружеството, поддържане на еднозначна структура на звената и класификация на показателите (хармонизация) в различните софтуерни продукти с които работи болницата (счетоводство, ТРЗ, графици, дейност). </w:t>
      </w:r>
      <w:bookmarkStart w:id="0" w:name="_GoBack"/>
      <w:bookmarkEnd w:id="0"/>
    </w:p>
    <w:p w:rsidR="005154E6" w:rsidRPr="00304CFC" w:rsidRDefault="005154E6">
      <w:pPr>
        <w:numPr>
          <w:ilvl w:val="0"/>
          <w:numId w:val="1"/>
        </w:numPr>
        <w:ind w:right="0"/>
        <w:rPr>
          <w:lang w:val="bg-BG"/>
        </w:rPr>
      </w:pPr>
      <w:r>
        <w:rPr>
          <w:lang w:val="bg-BG"/>
        </w:rPr>
        <w:t xml:space="preserve">Попълнените отчети се подписват с КЕП от представляващ и главен счетоводител и се подават на </w:t>
      </w:r>
      <w:r w:rsidRPr="00226160">
        <w:rPr>
          <w:color w:val="000000" w:themeColor="text1"/>
          <w:szCs w:val="24"/>
          <w:lang w:val="bg-BG"/>
        </w:rPr>
        <w:t>платформата</w:t>
      </w:r>
      <w:r>
        <w:rPr>
          <w:lang w:val="bg-BG"/>
        </w:rPr>
        <w:t xml:space="preserve"> </w:t>
      </w:r>
      <w:r w:rsidRPr="00226160">
        <w:rPr>
          <w:color w:val="000000" w:themeColor="text1"/>
          <w:szCs w:val="24"/>
          <w:lang w:val="bg-BG"/>
        </w:rPr>
        <w:t>на Информационно обслужване на адрес https://mzreporting.uslugi.io</w:t>
      </w:r>
    </w:p>
    <w:p w:rsidR="00F23E0A" w:rsidRPr="00304CFC" w:rsidRDefault="00014794">
      <w:pPr>
        <w:spacing w:after="0" w:line="259" w:lineRule="auto"/>
        <w:ind w:left="1572" w:right="0" w:firstLine="0"/>
        <w:jc w:val="left"/>
        <w:rPr>
          <w:lang w:val="bg-BG"/>
        </w:rPr>
      </w:pPr>
      <w:r w:rsidRPr="00304CFC">
        <w:rPr>
          <w:lang w:val="bg-BG"/>
        </w:rPr>
        <w:t xml:space="preserve"> </w:t>
      </w:r>
    </w:p>
    <w:p w:rsidR="00F23E0A" w:rsidRPr="00304CFC" w:rsidRDefault="00014794" w:rsidP="002952F3">
      <w:pPr>
        <w:spacing w:after="0" w:line="259" w:lineRule="auto"/>
        <w:ind w:left="10" w:right="-6" w:hanging="10"/>
        <w:jc w:val="center"/>
        <w:rPr>
          <w:lang w:val="bg-BG"/>
        </w:rPr>
      </w:pPr>
      <w:r w:rsidRPr="00304CFC">
        <w:rPr>
          <w:b/>
          <w:lang w:val="bg-BG"/>
        </w:rPr>
        <w:t xml:space="preserve">СПИСЪК НА ОТДЕЛНИТЕ ТАБЛИЦИ И ПОЯСНЕНИЕ ЗА ПОПЪЛВАНЕТО ИМ </w:t>
      </w:r>
    </w:p>
    <w:p w:rsidR="00F23E0A" w:rsidRPr="00304CFC" w:rsidRDefault="00014794">
      <w:pPr>
        <w:spacing w:after="26" w:line="259" w:lineRule="auto"/>
        <w:ind w:left="852" w:right="0" w:firstLine="0"/>
        <w:jc w:val="left"/>
        <w:rPr>
          <w:lang w:val="bg-BG"/>
        </w:rPr>
      </w:pPr>
      <w:r w:rsidRPr="00304CFC">
        <w:rPr>
          <w:b/>
          <w:lang w:val="bg-BG"/>
        </w:rPr>
        <w:t xml:space="preserve"> </w:t>
      </w:r>
    </w:p>
    <w:p w:rsidR="00F23E0A" w:rsidRDefault="00014794">
      <w:pPr>
        <w:pStyle w:val="Heading2"/>
        <w:ind w:left="847" w:right="0"/>
        <w:rPr>
          <w:lang w:val="bg-BG"/>
        </w:rPr>
      </w:pPr>
      <w:r w:rsidRPr="00304CFC">
        <w:rPr>
          <w:lang w:val="bg-BG"/>
        </w:rPr>
        <w:t xml:space="preserve">Т01 ОТЧЕТ ЗА ВСЕОБХВАТНИЯ ДОХОД ОТ ДАТА ДО ДАТА </w:t>
      </w:r>
    </w:p>
    <w:p w:rsidR="00F23E0A" w:rsidRPr="00304CFC" w:rsidRDefault="00014794">
      <w:pPr>
        <w:ind w:left="-15" w:right="0"/>
        <w:rPr>
          <w:lang w:val="bg-BG"/>
        </w:rPr>
      </w:pPr>
      <w:r w:rsidRPr="00304CFC">
        <w:rPr>
          <w:lang w:val="bg-BG"/>
        </w:rPr>
        <w:t>Стойностите на показателите, касаещи приходите от РЗОК се генерират от попълнените в Т15 данни. Незавършените дейности в края на годината се посочват на ред 05 Изменение на нал</w:t>
      </w:r>
      <w:r w:rsidR="00D4142A">
        <w:rPr>
          <w:lang w:val="bg-BG"/>
        </w:rPr>
        <w:t>ичностите</w:t>
      </w:r>
      <w:r w:rsidRPr="00304CFC">
        <w:rPr>
          <w:lang w:val="bg-BG"/>
        </w:rPr>
        <w:t xml:space="preserve"> от незавършено производство и готова продукция с положителен знак до стойността на извършените за тях разходи, а завършените в началото, на годината, започнати предходната и отчетена през предходната в увеличение </w:t>
      </w:r>
      <w:r w:rsidRPr="008E620B">
        <w:rPr>
          <w:lang w:val="bg-BG"/>
        </w:rPr>
        <w:t>се отч</w:t>
      </w:r>
      <w:r w:rsidR="00995B12" w:rsidRPr="008E620B">
        <w:rPr>
          <w:lang w:val="bg-BG"/>
        </w:rPr>
        <w:t>и</w:t>
      </w:r>
      <w:r w:rsidRPr="008E620B">
        <w:rPr>
          <w:lang w:val="bg-BG"/>
        </w:rPr>
        <w:t>тат в</w:t>
      </w:r>
      <w:r w:rsidRPr="00304CFC">
        <w:rPr>
          <w:lang w:val="bg-BG"/>
        </w:rPr>
        <w:t xml:space="preserve"> намаление през текущата година на този ред. Всички медикаменти и консумативи, които са част от лечението на пациента и се </w:t>
      </w:r>
      <w:proofErr w:type="spellStart"/>
      <w:r w:rsidRPr="00304CFC">
        <w:rPr>
          <w:lang w:val="bg-BG"/>
        </w:rPr>
        <w:t>реимбурсират</w:t>
      </w:r>
      <w:proofErr w:type="spellEnd"/>
      <w:r w:rsidRPr="00304CFC">
        <w:rPr>
          <w:lang w:val="bg-BG"/>
        </w:rPr>
        <w:t xml:space="preserve"> частично или изцяло се отразяват едновременно в приход и в разход при тяхното влагане. Попълва се и ред “</w:t>
      </w:r>
      <w:proofErr w:type="spellStart"/>
      <w:r w:rsidRPr="00304CFC">
        <w:rPr>
          <w:lang w:val="bg-BG"/>
        </w:rPr>
        <w:t>извънболнична</w:t>
      </w:r>
      <w:proofErr w:type="spellEnd"/>
      <w:r w:rsidRPr="00304CFC">
        <w:rPr>
          <w:lang w:val="bg-BG"/>
        </w:rPr>
        <w:t xml:space="preserve"> помощ”, когато такава е отчетена в приход. Приходите, получени от НЗОК за лечение на граждани от ЕС или социално слаби се посочват в предвидените редове за КП, </w:t>
      </w:r>
      <w:proofErr w:type="spellStart"/>
      <w:r w:rsidRPr="00304CFC">
        <w:rPr>
          <w:lang w:val="bg-BG"/>
        </w:rPr>
        <w:t>КПр</w:t>
      </w:r>
      <w:proofErr w:type="spellEnd"/>
      <w:r w:rsidRPr="00304CFC">
        <w:rPr>
          <w:lang w:val="bg-BG"/>
        </w:rPr>
        <w:t xml:space="preserve">, </w:t>
      </w:r>
      <w:proofErr w:type="spellStart"/>
      <w:r w:rsidRPr="00304CFC">
        <w:rPr>
          <w:lang w:val="bg-BG"/>
        </w:rPr>
        <w:t>АПр</w:t>
      </w:r>
      <w:proofErr w:type="spellEnd"/>
      <w:r w:rsidRPr="00304CFC">
        <w:rPr>
          <w:lang w:val="bg-BG"/>
        </w:rPr>
        <w:t xml:space="preserve"> или </w:t>
      </w:r>
      <w:proofErr w:type="spellStart"/>
      <w:r w:rsidRPr="00304CFC">
        <w:rPr>
          <w:lang w:val="bg-BG"/>
        </w:rPr>
        <w:t>извънболнична</w:t>
      </w:r>
      <w:proofErr w:type="spellEnd"/>
      <w:r w:rsidRPr="00304CFC">
        <w:rPr>
          <w:lang w:val="bg-BG"/>
        </w:rPr>
        <w:t xml:space="preserve"> дейност, аналогично в Т15. </w:t>
      </w:r>
    </w:p>
    <w:p w:rsidR="00F23E0A" w:rsidRPr="00304CFC" w:rsidRDefault="00F23E0A">
      <w:pPr>
        <w:spacing w:after="31" w:line="259" w:lineRule="auto"/>
        <w:ind w:left="852" w:right="0" w:firstLine="0"/>
        <w:jc w:val="left"/>
        <w:rPr>
          <w:lang w:val="bg-BG"/>
        </w:rPr>
      </w:pPr>
    </w:p>
    <w:p w:rsidR="00F23E0A" w:rsidRPr="00304CFC" w:rsidRDefault="00014794">
      <w:pPr>
        <w:pStyle w:val="Heading2"/>
        <w:ind w:left="847" w:right="0"/>
        <w:rPr>
          <w:lang w:val="bg-BG"/>
        </w:rPr>
      </w:pPr>
      <w:r w:rsidRPr="00304CFC">
        <w:rPr>
          <w:lang w:val="bg-BG"/>
        </w:rPr>
        <w:t xml:space="preserve">Т02 ОТЧЕТ ЗА ФИНАНСОВОТО СЪСТОЯНИЕ КЪМ ДАТА </w:t>
      </w:r>
    </w:p>
    <w:p w:rsidR="00F23E0A" w:rsidRPr="00304CFC" w:rsidRDefault="00014794">
      <w:pPr>
        <w:ind w:left="-15" w:right="0"/>
        <w:rPr>
          <w:lang w:val="bg-BG"/>
        </w:rPr>
      </w:pPr>
      <w:r w:rsidRPr="00304CFC">
        <w:rPr>
          <w:lang w:val="bg-BG"/>
        </w:rPr>
        <w:t xml:space="preserve">Формулярът диференцира нетекущите пасиви на текущи (без забава), просрочени (нето от лихви такси и разноски) и лихви, такси и разноски по просрочията (вкл. неустойки и други с характер на санкция) Същите следва да кореспондират с попълнените в Т12 данни. </w:t>
      </w:r>
    </w:p>
    <w:p w:rsidR="00190879" w:rsidRDefault="00014794" w:rsidP="00190879">
      <w:pPr>
        <w:spacing w:after="31" w:line="259" w:lineRule="auto"/>
        <w:ind w:left="852" w:right="0" w:firstLine="0"/>
        <w:jc w:val="left"/>
        <w:rPr>
          <w:lang w:val="bg-BG"/>
        </w:rPr>
      </w:pPr>
      <w:r w:rsidRPr="00304CFC">
        <w:rPr>
          <w:lang w:val="bg-BG"/>
        </w:rPr>
        <w:t xml:space="preserve"> </w:t>
      </w:r>
    </w:p>
    <w:p w:rsidR="00F23E0A" w:rsidRPr="00304CFC" w:rsidRDefault="00014794" w:rsidP="00190879">
      <w:pPr>
        <w:spacing w:after="31" w:line="259" w:lineRule="auto"/>
        <w:ind w:left="852" w:right="0" w:firstLine="0"/>
        <w:jc w:val="left"/>
        <w:rPr>
          <w:lang w:val="bg-BG"/>
        </w:rPr>
      </w:pPr>
      <w:r w:rsidRPr="00304CFC">
        <w:rPr>
          <w:b/>
          <w:lang w:val="bg-BG"/>
        </w:rPr>
        <w:t xml:space="preserve">Т03 ОТЧЕТ ЗА ПАРИЧНИЯ ПОТОК ПО ПРЕКИЯ МЕТОД ОТ ДАТА ДО ДАТА </w:t>
      </w:r>
    </w:p>
    <w:p w:rsidR="00151082" w:rsidRDefault="00014794" w:rsidP="00151082">
      <w:pPr>
        <w:ind w:left="852" w:right="0" w:firstLine="0"/>
        <w:rPr>
          <w:lang w:val="bg-BG"/>
        </w:rPr>
      </w:pPr>
      <w:r w:rsidRPr="00304CFC">
        <w:rPr>
          <w:lang w:val="bg-BG"/>
        </w:rPr>
        <w:t xml:space="preserve">Предвиден е унифициран формуляр. </w:t>
      </w:r>
    </w:p>
    <w:p w:rsidR="00151082" w:rsidRDefault="00151082" w:rsidP="00151082">
      <w:pPr>
        <w:ind w:left="852" w:right="0" w:firstLine="0"/>
        <w:rPr>
          <w:lang w:val="bg-BG"/>
        </w:rPr>
      </w:pPr>
    </w:p>
    <w:p w:rsidR="00F23E0A" w:rsidRPr="00304CFC" w:rsidRDefault="00014794">
      <w:pPr>
        <w:pStyle w:val="Heading2"/>
        <w:ind w:left="847" w:right="0"/>
        <w:rPr>
          <w:lang w:val="bg-BG"/>
        </w:rPr>
      </w:pPr>
      <w:r w:rsidRPr="00304CFC">
        <w:rPr>
          <w:lang w:val="bg-BG"/>
        </w:rPr>
        <w:t xml:space="preserve">Т04 РЕКАПИТУЛАЦИЯ ПО Т12 КЪМ ДАТА </w:t>
      </w:r>
    </w:p>
    <w:p w:rsidR="00190879" w:rsidRDefault="00014794" w:rsidP="00151082">
      <w:pPr>
        <w:spacing w:after="5" w:line="268" w:lineRule="auto"/>
        <w:ind w:right="0" w:firstLine="852"/>
        <w:jc w:val="left"/>
        <w:rPr>
          <w:lang w:val="bg-BG"/>
        </w:rPr>
      </w:pPr>
      <w:r w:rsidRPr="00304CFC">
        <w:rPr>
          <w:lang w:val="bg-BG"/>
        </w:rPr>
        <w:t xml:space="preserve">Справката се генерира автоматично на база данните в Т12. Извеждат се стойности по предвидената номенклатура. Прави се проверка за коректност на номенклатурите и посочените в баланса релевантни стойности. </w:t>
      </w:r>
    </w:p>
    <w:p w:rsidR="00151082" w:rsidRDefault="00151082" w:rsidP="00151082">
      <w:pPr>
        <w:spacing w:after="5" w:line="268" w:lineRule="auto"/>
        <w:ind w:right="0" w:firstLine="852"/>
        <w:jc w:val="left"/>
        <w:rPr>
          <w:lang w:val="bg-BG"/>
        </w:rPr>
      </w:pPr>
    </w:p>
    <w:p w:rsidR="00F23E0A" w:rsidRPr="00304CFC" w:rsidRDefault="00014794" w:rsidP="00190879">
      <w:pPr>
        <w:pStyle w:val="Heading2"/>
        <w:ind w:left="847" w:right="0"/>
        <w:rPr>
          <w:lang w:val="bg-BG"/>
        </w:rPr>
      </w:pPr>
      <w:r w:rsidRPr="00304CFC">
        <w:rPr>
          <w:lang w:val="bg-BG"/>
        </w:rPr>
        <w:t xml:space="preserve">Т05 ИКОНОМИЧЕСКИ ПОКАЗАТЕЛИ ЗА ДЕЙНОСТТА КЪМ ДАТА </w:t>
      </w:r>
    </w:p>
    <w:p w:rsidR="00190879" w:rsidRDefault="00014794" w:rsidP="00151082">
      <w:pPr>
        <w:ind w:left="-15" w:right="0"/>
        <w:rPr>
          <w:lang w:val="bg-BG"/>
        </w:rPr>
      </w:pPr>
      <w:r w:rsidRPr="00304CFC">
        <w:rPr>
          <w:lang w:val="bg-BG"/>
        </w:rPr>
        <w:t xml:space="preserve">Попълва се автоматично, съобразно заложения алгоритъм. Изменението в стойността на </w:t>
      </w:r>
      <w:r w:rsidRPr="008E620B">
        <w:rPr>
          <w:lang w:val="bg-BG"/>
        </w:rPr>
        <w:t>показателите под</w:t>
      </w:r>
      <w:r w:rsidR="00543E5C" w:rsidRPr="008E620B">
        <w:rPr>
          <w:lang w:val="bg-BG"/>
        </w:rPr>
        <w:t>л</w:t>
      </w:r>
      <w:r w:rsidRPr="008E620B">
        <w:rPr>
          <w:lang w:val="bg-BG"/>
        </w:rPr>
        <w:t>ежи</w:t>
      </w:r>
      <w:r w:rsidRPr="00304CFC">
        <w:rPr>
          <w:lang w:val="bg-BG"/>
        </w:rPr>
        <w:t xml:space="preserve"> на мониторинг. </w:t>
      </w:r>
    </w:p>
    <w:p w:rsidR="00151082" w:rsidRDefault="00151082" w:rsidP="00151082">
      <w:pPr>
        <w:ind w:left="-15" w:right="0"/>
        <w:rPr>
          <w:lang w:val="bg-BG"/>
        </w:rPr>
      </w:pPr>
    </w:p>
    <w:p w:rsidR="00F23E0A" w:rsidRPr="00304CFC" w:rsidRDefault="00014794">
      <w:pPr>
        <w:pStyle w:val="Heading2"/>
        <w:ind w:left="847" w:right="0"/>
        <w:rPr>
          <w:lang w:val="bg-BG"/>
        </w:rPr>
      </w:pPr>
      <w:r w:rsidRPr="00304CFC">
        <w:rPr>
          <w:lang w:val="bg-BG"/>
        </w:rPr>
        <w:t xml:space="preserve">Т06 СПРАВКА ЗА ПЕРСОНАЛА ОТ ДАТА ДО ДАТА </w:t>
      </w:r>
    </w:p>
    <w:p w:rsidR="00E9303B" w:rsidRDefault="00E9303B" w:rsidP="00E9303B">
      <w:pPr>
        <w:ind w:left="-15" w:right="0"/>
        <w:rPr>
          <w:lang w:val="bg-BG"/>
        </w:rPr>
      </w:pPr>
      <w:r w:rsidRPr="00E9303B">
        <w:rPr>
          <w:lang w:val="bg-BG"/>
        </w:rPr>
        <w:t xml:space="preserve">Попълват се разходите за възнаграждения и </w:t>
      </w:r>
      <w:proofErr w:type="spellStart"/>
      <w:r w:rsidRPr="00E9303B">
        <w:rPr>
          <w:lang w:val="bg-BG"/>
        </w:rPr>
        <w:t>средносписъчния</w:t>
      </w:r>
      <w:proofErr w:type="spellEnd"/>
      <w:r w:rsidRPr="00E9303B">
        <w:rPr>
          <w:lang w:val="bg-BG"/>
        </w:rPr>
        <w:t xml:space="preserve"> брой на персонала по категории, в съответствие с Колективния трудов договор в отрасъл „Здравеопазване“, като допълнително са изведени отделни позиции за медицински и за немедицински персонал и категория „санитари и болногледачи“. Целта е да се проследи съотношението между нивата на възнаграждения на различните категории болничен персонал. Извършва се съпоставка с отчета за всеобхватния доход.</w:t>
      </w:r>
    </w:p>
    <w:p w:rsidR="00E9303B" w:rsidRPr="00E9303B" w:rsidRDefault="00E9303B" w:rsidP="00E9303B">
      <w:pPr>
        <w:ind w:left="-15" w:right="0"/>
        <w:rPr>
          <w:lang w:val="bg-BG"/>
        </w:rPr>
      </w:pPr>
    </w:p>
    <w:p w:rsidR="00F23E0A" w:rsidRPr="00304CFC" w:rsidRDefault="00014794" w:rsidP="00190879">
      <w:pPr>
        <w:spacing w:after="31" w:line="259" w:lineRule="auto"/>
        <w:ind w:left="852" w:right="0" w:firstLine="0"/>
        <w:jc w:val="left"/>
        <w:rPr>
          <w:lang w:val="bg-BG"/>
        </w:rPr>
      </w:pPr>
      <w:r w:rsidRPr="00304CFC">
        <w:rPr>
          <w:b/>
          <w:lang w:val="bg-BG"/>
        </w:rPr>
        <w:t xml:space="preserve">Т07 НАТУРАЛНИ ПОКАЗАТЕЛИ ЗА ДЕЙНОСТТА ОТ ДАТА ДО ДАТА </w:t>
      </w:r>
    </w:p>
    <w:p w:rsidR="00F23E0A" w:rsidRDefault="00014794" w:rsidP="00151082">
      <w:pPr>
        <w:ind w:left="852" w:right="0" w:firstLine="0"/>
        <w:rPr>
          <w:lang w:val="bg-BG"/>
        </w:rPr>
      </w:pPr>
      <w:r w:rsidRPr="00304CFC">
        <w:rPr>
          <w:lang w:val="bg-BG"/>
        </w:rPr>
        <w:t xml:space="preserve">Калкулира се автоматично на база Т14. </w:t>
      </w:r>
    </w:p>
    <w:p w:rsidR="00151082" w:rsidRPr="00304CFC" w:rsidRDefault="00151082" w:rsidP="00151082">
      <w:pPr>
        <w:ind w:left="852" w:right="0" w:firstLine="0"/>
        <w:rPr>
          <w:lang w:val="bg-BG"/>
        </w:rPr>
      </w:pPr>
    </w:p>
    <w:p w:rsidR="00F23E0A" w:rsidRPr="00304CFC" w:rsidRDefault="00014794">
      <w:pPr>
        <w:spacing w:after="11" w:line="270" w:lineRule="auto"/>
        <w:ind w:left="847" w:right="0" w:hanging="10"/>
        <w:jc w:val="left"/>
        <w:rPr>
          <w:lang w:val="bg-BG"/>
        </w:rPr>
      </w:pPr>
      <w:r w:rsidRPr="00304CFC">
        <w:rPr>
          <w:b/>
          <w:lang w:val="bg-BG"/>
        </w:rPr>
        <w:t xml:space="preserve">Т08 РАЗХОДИ НА ЛЕГЛОДЕН ПО ВИДОВЕ ОТ ДАТА ДО ДАТА </w:t>
      </w:r>
    </w:p>
    <w:p w:rsidR="00F23E0A" w:rsidRDefault="00014794" w:rsidP="00151082">
      <w:pPr>
        <w:ind w:left="852" w:right="0" w:firstLine="0"/>
        <w:rPr>
          <w:lang w:val="bg-BG"/>
        </w:rPr>
      </w:pPr>
      <w:r w:rsidRPr="00304CFC">
        <w:rPr>
          <w:lang w:val="bg-BG"/>
        </w:rPr>
        <w:t xml:space="preserve">Калкулира се автоматично. </w:t>
      </w:r>
    </w:p>
    <w:p w:rsidR="00151082" w:rsidRPr="00304CFC" w:rsidRDefault="00151082" w:rsidP="00151082">
      <w:pPr>
        <w:ind w:left="852" w:right="0" w:firstLine="0"/>
        <w:rPr>
          <w:lang w:val="bg-BG"/>
        </w:rPr>
      </w:pPr>
    </w:p>
    <w:p w:rsidR="00F23E0A" w:rsidRPr="00304CFC" w:rsidRDefault="00014794">
      <w:pPr>
        <w:spacing w:after="11" w:line="270" w:lineRule="auto"/>
        <w:ind w:left="847" w:right="0" w:hanging="10"/>
        <w:jc w:val="left"/>
        <w:rPr>
          <w:lang w:val="bg-BG"/>
        </w:rPr>
      </w:pPr>
      <w:r w:rsidRPr="00304CFC">
        <w:rPr>
          <w:b/>
          <w:lang w:val="bg-BG"/>
        </w:rPr>
        <w:t xml:space="preserve">T09 СПРАВКА ЗА ДВИЖЕНИЕТО НА НЕТЕКУЩИТЕ АКТИВИ В ЛЕВА ЗА ПЕРИОДА ОТ ДАТА ДО ДАТА </w:t>
      </w:r>
    </w:p>
    <w:p w:rsidR="00F23E0A" w:rsidRDefault="00014794" w:rsidP="00151082">
      <w:pPr>
        <w:ind w:left="852" w:right="0" w:firstLine="0"/>
        <w:rPr>
          <w:lang w:val="bg-BG"/>
        </w:rPr>
      </w:pPr>
      <w:r w:rsidRPr="00304CFC">
        <w:rPr>
          <w:lang w:val="bg-BG"/>
        </w:rPr>
        <w:t xml:space="preserve">Макетът проверява за съответствие с други отчети </w:t>
      </w:r>
    </w:p>
    <w:p w:rsidR="00151082" w:rsidRPr="00304CFC" w:rsidRDefault="00151082" w:rsidP="00151082">
      <w:pPr>
        <w:ind w:left="852" w:right="0" w:firstLine="0"/>
        <w:rPr>
          <w:lang w:val="bg-BG"/>
        </w:rPr>
      </w:pPr>
    </w:p>
    <w:p w:rsidR="00F23E0A" w:rsidRPr="00304CFC" w:rsidRDefault="00014794">
      <w:pPr>
        <w:spacing w:after="11" w:line="270" w:lineRule="auto"/>
        <w:ind w:left="847" w:right="0" w:hanging="10"/>
        <w:jc w:val="left"/>
        <w:rPr>
          <w:lang w:val="bg-BG"/>
        </w:rPr>
      </w:pPr>
      <w:r w:rsidRPr="00304CFC">
        <w:rPr>
          <w:b/>
          <w:lang w:val="bg-BG"/>
        </w:rPr>
        <w:t xml:space="preserve">Т10 ОТЧЕТ ЗА СОБСТВЕНИЯ КАПИТАЛ В ЛЕВА ЗА ПЕРИОДА ОТ ДАТА ДО ДАТА </w:t>
      </w:r>
    </w:p>
    <w:p w:rsidR="00F23E0A" w:rsidRDefault="00014794" w:rsidP="00151082">
      <w:pPr>
        <w:ind w:left="852" w:right="0" w:firstLine="0"/>
        <w:rPr>
          <w:lang w:val="bg-BG"/>
        </w:rPr>
      </w:pPr>
      <w:r w:rsidRPr="00304CFC">
        <w:rPr>
          <w:lang w:val="bg-BG"/>
        </w:rPr>
        <w:t xml:space="preserve">Макетът проверява за съответствие с други отчети </w:t>
      </w:r>
    </w:p>
    <w:p w:rsidR="00151082" w:rsidRPr="00304CFC" w:rsidRDefault="00151082" w:rsidP="00151082">
      <w:pPr>
        <w:ind w:left="852" w:right="0" w:firstLine="0"/>
        <w:rPr>
          <w:lang w:val="bg-BG"/>
        </w:rPr>
      </w:pPr>
    </w:p>
    <w:p w:rsidR="00F23E0A" w:rsidRDefault="00014794">
      <w:pPr>
        <w:spacing w:after="11" w:line="270" w:lineRule="auto"/>
        <w:ind w:left="847" w:right="0" w:hanging="10"/>
        <w:jc w:val="left"/>
        <w:rPr>
          <w:b/>
          <w:lang w:val="bg-BG"/>
        </w:rPr>
      </w:pPr>
      <w:r w:rsidRPr="00304CFC">
        <w:rPr>
          <w:b/>
          <w:lang w:val="bg-BG"/>
        </w:rPr>
        <w:t xml:space="preserve">Т11 СПРАВКА ЗА НАЧИСЛЕНИТЕ ВЪЗНАГРАЖДЕНИЯ ПО ДОГОВОРИ ЗА УПРАВЛЕНИЕ И КОНТРОЛ ЗА ПЕРИОДА ОТ ДАТА ДО ДАТА </w:t>
      </w:r>
    </w:p>
    <w:p w:rsidR="00625A20" w:rsidRPr="00A62E30" w:rsidRDefault="00625A20" w:rsidP="00625A20">
      <w:pPr>
        <w:spacing w:after="0"/>
        <w:ind w:firstLine="708"/>
        <w:rPr>
          <w:lang w:val="bg-BG"/>
        </w:rPr>
      </w:pPr>
      <w:r w:rsidRPr="00A62E30">
        <w:rPr>
          <w:lang w:val="bg-BG"/>
        </w:rPr>
        <w:t>В тази таблица се прави опис на договорите за управление и контрол за всеки от изтеклите месеци от началото на годината -  по лица, длъжности, начислени възнаграждения, отработени дни (вкл. платен отпуск), определени</w:t>
      </w:r>
      <w:r w:rsidR="00E5390E">
        <w:rPr>
          <w:lang w:val="bg-BG"/>
        </w:rPr>
        <w:t xml:space="preserve"> с</w:t>
      </w:r>
      <w:r w:rsidRPr="00A62E30">
        <w:rPr>
          <w:lang w:val="bg-BG"/>
        </w:rPr>
        <w:t xml:space="preserve"> договора за възлагане на управление. Показателите са както следва: </w:t>
      </w:r>
    </w:p>
    <w:p w:rsidR="00625A20" w:rsidRPr="00A62E30" w:rsidRDefault="00625A20" w:rsidP="00625A20">
      <w:pPr>
        <w:spacing w:after="0"/>
        <w:ind w:firstLine="708"/>
        <w:rPr>
          <w:lang w:val="bg-BG"/>
        </w:rPr>
      </w:pPr>
    </w:p>
    <w:tbl>
      <w:tblPr>
        <w:tblStyle w:val="TableGrid"/>
        <w:tblW w:w="9250" w:type="dxa"/>
        <w:jc w:val="center"/>
        <w:tblInd w:w="0" w:type="dxa"/>
        <w:tblCellMar>
          <w:top w:w="52" w:type="dxa"/>
          <w:left w:w="108" w:type="dxa"/>
          <w:right w:w="90" w:type="dxa"/>
        </w:tblCellMar>
        <w:tblLook w:val="04A0" w:firstRow="1" w:lastRow="0" w:firstColumn="1" w:lastColumn="0" w:noHBand="0" w:noVBand="1"/>
      </w:tblPr>
      <w:tblGrid>
        <w:gridCol w:w="3397"/>
        <w:gridCol w:w="5853"/>
      </w:tblGrid>
      <w:tr w:rsidR="00625A20" w:rsidRPr="00DD3D07" w:rsidTr="006644D8">
        <w:trPr>
          <w:trHeight w:val="312"/>
          <w:jc w:val="center"/>
        </w:trPr>
        <w:tc>
          <w:tcPr>
            <w:tcW w:w="3397"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right="21" w:firstLine="0"/>
              <w:jc w:val="center"/>
              <w:rPr>
                <w:lang w:val="bg-BG"/>
              </w:rPr>
            </w:pPr>
            <w:r w:rsidRPr="00DD3D07">
              <w:rPr>
                <w:lang w:val="bg-BG"/>
              </w:rPr>
              <w:t xml:space="preserve">Показател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right="18" w:firstLine="0"/>
              <w:jc w:val="center"/>
              <w:rPr>
                <w:lang w:val="bg-BG"/>
              </w:rPr>
            </w:pPr>
            <w:r w:rsidRPr="00DD3D07">
              <w:rPr>
                <w:lang w:val="bg-BG"/>
              </w:rPr>
              <w:t xml:space="preserve">Пояснение </w:t>
            </w:r>
          </w:p>
        </w:tc>
      </w:tr>
      <w:tr w:rsidR="00625A20" w:rsidRPr="00DD3D07" w:rsidTr="006644D8">
        <w:trPr>
          <w:trHeight w:val="111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625A20" w:rsidRPr="00DD3D07" w:rsidRDefault="00625A20" w:rsidP="003E2ACD">
            <w:pPr>
              <w:spacing w:after="0" w:line="259" w:lineRule="auto"/>
              <w:ind w:firstLine="0"/>
              <w:jc w:val="left"/>
              <w:rPr>
                <w:lang w:val="bg-BG"/>
              </w:rPr>
            </w:pPr>
            <w:r w:rsidRPr="00DD3D07">
              <w:rPr>
                <w:lang w:val="bg-BG"/>
              </w:rPr>
              <w:t xml:space="preserve">Месец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right="13" w:firstLine="0"/>
              <w:jc w:val="left"/>
              <w:rPr>
                <w:lang w:val="bg-BG"/>
              </w:rPr>
            </w:pPr>
            <w:r w:rsidRPr="00DD3D07">
              <w:rPr>
                <w:lang w:val="bg-BG"/>
              </w:rPr>
              <w:t xml:space="preserve">Месец, през който е извършено управлението - всеки от месеците в периода на отчета следва да бъде описан по лица, които фигурират за съответния период в Търговския регистър </w:t>
            </w:r>
          </w:p>
        </w:tc>
      </w:tr>
      <w:tr w:rsidR="00625A20" w:rsidRPr="00DD3D07" w:rsidTr="006644D8">
        <w:trPr>
          <w:trHeight w:val="56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625A20" w:rsidRPr="00DD3D07" w:rsidRDefault="00625A20" w:rsidP="003E2ACD">
            <w:pPr>
              <w:spacing w:after="0" w:line="259" w:lineRule="auto"/>
              <w:ind w:firstLine="0"/>
              <w:jc w:val="left"/>
              <w:rPr>
                <w:lang w:val="bg-BG"/>
              </w:rPr>
            </w:pPr>
            <w:r w:rsidRPr="00DD3D07">
              <w:rPr>
                <w:lang w:val="bg-BG"/>
              </w:rPr>
              <w:t xml:space="preserve">ЕИК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Попълва се и за дъщерните дружества, задължително се избира ЕИК на дружеството </w:t>
            </w:r>
          </w:p>
        </w:tc>
      </w:tr>
      <w:tr w:rsidR="00625A20" w:rsidRPr="00DD3D07" w:rsidTr="006644D8">
        <w:trPr>
          <w:trHeight w:val="310"/>
          <w:jc w:val="center"/>
        </w:trPr>
        <w:tc>
          <w:tcPr>
            <w:tcW w:w="3397"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Дружество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Попълва се автоматично </w:t>
            </w:r>
          </w:p>
        </w:tc>
      </w:tr>
      <w:tr w:rsidR="00625A20" w:rsidRPr="00DD3D07" w:rsidTr="006644D8">
        <w:trPr>
          <w:trHeight w:val="838"/>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625A20" w:rsidRPr="00DD3D07" w:rsidRDefault="00625A20" w:rsidP="003E2ACD">
            <w:pPr>
              <w:spacing w:after="0" w:line="259" w:lineRule="auto"/>
              <w:ind w:firstLine="0"/>
              <w:jc w:val="left"/>
              <w:rPr>
                <w:lang w:val="bg-BG"/>
              </w:rPr>
            </w:pPr>
            <w:r w:rsidRPr="00DD3D07">
              <w:rPr>
                <w:lang w:val="bg-BG"/>
              </w:rPr>
              <w:t xml:space="preserve">Брой отработени вкл. платен отпуск дни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Целта е да се постигне </w:t>
            </w:r>
            <w:proofErr w:type="spellStart"/>
            <w:r w:rsidRPr="00DD3D07">
              <w:rPr>
                <w:lang w:val="bg-BG"/>
              </w:rPr>
              <w:t>релевантност</w:t>
            </w:r>
            <w:proofErr w:type="spellEnd"/>
            <w:r w:rsidRPr="00DD3D07">
              <w:rPr>
                <w:lang w:val="bg-BG"/>
              </w:rPr>
              <w:t xml:space="preserve"> между отработените дни и тези в платен отпуск с начислената сума без обезщетения </w:t>
            </w:r>
          </w:p>
        </w:tc>
      </w:tr>
      <w:tr w:rsidR="00625A20" w:rsidRPr="00DD3D07" w:rsidTr="006644D8">
        <w:trPr>
          <w:trHeight w:val="310"/>
          <w:jc w:val="center"/>
        </w:trPr>
        <w:tc>
          <w:tcPr>
            <w:tcW w:w="3397"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ЕГН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Задължително се попълва за всички лица </w:t>
            </w:r>
          </w:p>
        </w:tc>
      </w:tr>
      <w:tr w:rsidR="00625A20" w:rsidRPr="00DD3D07" w:rsidTr="006644D8">
        <w:trPr>
          <w:trHeight w:val="310"/>
          <w:jc w:val="center"/>
        </w:trPr>
        <w:tc>
          <w:tcPr>
            <w:tcW w:w="3397"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Три имена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Задължително се попълва за всички лица </w:t>
            </w:r>
          </w:p>
        </w:tc>
      </w:tr>
      <w:tr w:rsidR="00625A20" w:rsidRPr="00DD3D07" w:rsidTr="006644D8">
        <w:trPr>
          <w:trHeight w:val="312"/>
          <w:jc w:val="center"/>
        </w:trPr>
        <w:tc>
          <w:tcPr>
            <w:tcW w:w="3397"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Длъжност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Задължително се избира от номенклатура </w:t>
            </w:r>
          </w:p>
        </w:tc>
      </w:tr>
      <w:tr w:rsidR="00625A20" w:rsidRPr="00DD3D07" w:rsidTr="006644D8">
        <w:trPr>
          <w:trHeight w:val="496"/>
          <w:jc w:val="center"/>
        </w:trPr>
        <w:tc>
          <w:tcPr>
            <w:tcW w:w="3397" w:type="dxa"/>
            <w:tcBorders>
              <w:top w:val="single" w:sz="4" w:space="0" w:color="000000"/>
              <w:left w:val="single" w:sz="4" w:space="0" w:color="000000"/>
              <w:bottom w:val="single" w:sz="4" w:space="0" w:color="000000"/>
              <w:right w:val="single" w:sz="4" w:space="0" w:color="000000"/>
            </w:tcBorders>
          </w:tcPr>
          <w:p w:rsidR="00244165" w:rsidRPr="00DD3D07" w:rsidRDefault="00244165" w:rsidP="003E2ACD">
            <w:pPr>
              <w:spacing w:after="0" w:line="259" w:lineRule="auto"/>
              <w:ind w:firstLine="0"/>
              <w:jc w:val="left"/>
              <w:rPr>
                <w:lang w:val="bg-BG"/>
              </w:rPr>
            </w:pPr>
            <w:r w:rsidRPr="00DD3D07">
              <w:rPr>
                <w:lang w:val="bg-BG"/>
              </w:rPr>
              <w:t>Общ брой бални единици</w:t>
            </w:r>
          </w:p>
        </w:tc>
        <w:tc>
          <w:tcPr>
            <w:tcW w:w="5853" w:type="dxa"/>
            <w:tcBorders>
              <w:top w:val="single" w:sz="4" w:space="0" w:color="000000"/>
              <w:left w:val="single" w:sz="4" w:space="0" w:color="000000"/>
              <w:bottom w:val="single" w:sz="4" w:space="0" w:color="000000"/>
              <w:right w:val="single" w:sz="4" w:space="0" w:color="000000"/>
            </w:tcBorders>
            <w:vAlign w:val="center"/>
          </w:tcPr>
          <w:p w:rsidR="00625A20" w:rsidRPr="00DD3D07" w:rsidRDefault="00542C63" w:rsidP="00244165">
            <w:pPr>
              <w:spacing w:after="0" w:line="259" w:lineRule="auto"/>
              <w:ind w:firstLine="0"/>
              <w:jc w:val="left"/>
              <w:rPr>
                <w:lang w:val="bg-BG"/>
              </w:rPr>
            </w:pPr>
            <w:r>
              <w:rPr>
                <w:lang w:val="bg-BG"/>
              </w:rPr>
              <w:t xml:space="preserve">Попълва се </w:t>
            </w:r>
            <w:proofErr w:type="spellStart"/>
            <w:r>
              <w:rPr>
                <w:lang w:val="bg-BG"/>
              </w:rPr>
              <w:t>овтоматично</w:t>
            </w:r>
            <w:proofErr w:type="spellEnd"/>
          </w:p>
        </w:tc>
      </w:tr>
      <w:tr w:rsidR="00542C63" w:rsidRPr="00DD3D07" w:rsidTr="006644D8">
        <w:trPr>
          <w:trHeight w:val="642"/>
          <w:jc w:val="center"/>
        </w:trPr>
        <w:tc>
          <w:tcPr>
            <w:tcW w:w="3397" w:type="dxa"/>
            <w:tcBorders>
              <w:top w:val="nil"/>
              <w:left w:val="single" w:sz="4" w:space="0" w:color="000000"/>
              <w:bottom w:val="single" w:sz="4" w:space="0" w:color="000000"/>
              <w:right w:val="single" w:sz="4" w:space="0" w:color="000000"/>
            </w:tcBorders>
          </w:tcPr>
          <w:p w:rsidR="00542C63" w:rsidRPr="00DD3D07" w:rsidRDefault="00542C63" w:rsidP="003E2ACD">
            <w:pPr>
              <w:spacing w:after="0" w:line="259" w:lineRule="auto"/>
              <w:ind w:firstLine="0"/>
              <w:jc w:val="left"/>
              <w:rPr>
                <w:lang w:val="bg-BG"/>
              </w:rPr>
            </w:pPr>
            <w:r>
              <w:rPr>
                <w:lang w:val="bg-BG"/>
              </w:rPr>
              <w:t>Бални единици по критерий 1</w:t>
            </w:r>
          </w:p>
        </w:tc>
        <w:tc>
          <w:tcPr>
            <w:tcW w:w="5853" w:type="dxa"/>
            <w:tcBorders>
              <w:top w:val="nil"/>
              <w:left w:val="single" w:sz="4" w:space="0" w:color="000000"/>
              <w:bottom w:val="single" w:sz="4" w:space="0" w:color="000000"/>
              <w:right w:val="single" w:sz="4" w:space="0" w:color="000000"/>
            </w:tcBorders>
            <w:vAlign w:val="center"/>
          </w:tcPr>
          <w:p w:rsidR="00542C63" w:rsidRPr="00DD3D07" w:rsidRDefault="00801B47" w:rsidP="003E2ACD">
            <w:pPr>
              <w:spacing w:after="0" w:line="259" w:lineRule="auto"/>
              <w:ind w:firstLine="0"/>
              <w:jc w:val="left"/>
              <w:rPr>
                <w:lang w:val="bg-BG"/>
              </w:rPr>
            </w:pPr>
            <w:r>
              <w:rPr>
                <w:lang w:val="bg-BG"/>
              </w:rPr>
              <w:t>Попълва се броят на балните единици по критерия „Стойност на активите“ изчислен по критериите от приложение № 2 към чл. 56, ал. 2 от ППЗПП</w:t>
            </w:r>
          </w:p>
        </w:tc>
      </w:tr>
      <w:tr w:rsidR="00542C63" w:rsidRPr="00DD3D07" w:rsidTr="00542C63">
        <w:trPr>
          <w:trHeight w:val="642"/>
          <w:jc w:val="center"/>
        </w:trPr>
        <w:tc>
          <w:tcPr>
            <w:tcW w:w="3397" w:type="dxa"/>
            <w:tcBorders>
              <w:top w:val="nil"/>
              <w:left w:val="single" w:sz="4" w:space="0" w:color="000000"/>
              <w:bottom w:val="single" w:sz="4" w:space="0" w:color="000000"/>
              <w:right w:val="single" w:sz="4" w:space="0" w:color="000000"/>
            </w:tcBorders>
          </w:tcPr>
          <w:p w:rsidR="00542C63" w:rsidRPr="00DD3D07" w:rsidRDefault="00542C63" w:rsidP="003E2ACD">
            <w:pPr>
              <w:spacing w:after="0" w:line="259" w:lineRule="auto"/>
              <w:ind w:firstLine="0"/>
              <w:jc w:val="left"/>
              <w:rPr>
                <w:lang w:val="bg-BG"/>
              </w:rPr>
            </w:pPr>
            <w:r>
              <w:rPr>
                <w:lang w:val="bg-BG"/>
              </w:rPr>
              <w:t>Бални единици по критерий 2</w:t>
            </w:r>
          </w:p>
        </w:tc>
        <w:tc>
          <w:tcPr>
            <w:tcW w:w="5853" w:type="dxa"/>
            <w:tcBorders>
              <w:top w:val="nil"/>
              <w:left w:val="single" w:sz="4" w:space="0" w:color="000000"/>
              <w:bottom w:val="single" w:sz="4" w:space="0" w:color="000000"/>
              <w:right w:val="single" w:sz="4" w:space="0" w:color="000000"/>
            </w:tcBorders>
            <w:vAlign w:val="center"/>
          </w:tcPr>
          <w:p w:rsidR="00542C63" w:rsidRPr="00DD3D07" w:rsidRDefault="00801B47" w:rsidP="00801B47">
            <w:pPr>
              <w:spacing w:after="0" w:line="259" w:lineRule="auto"/>
              <w:ind w:firstLine="0"/>
              <w:jc w:val="left"/>
              <w:rPr>
                <w:lang w:val="bg-BG"/>
              </w:rPr>
            </w:pPr>
            <w:r>
              <w:rPr>
                <w:lang w:val="bg-BG"/>
              </w:rPr>
              <w:t>Попълва се броят на балните единици по критерия „</w:t>
            </w:r>
            <w:proofErr w:type="spellStart"/>
            <w:r>
              <w:rPr>
                <w:lang w:val="bg-BG"/>
              </w:rPr>
              <w:t>Средносписъчен</w:t>
            </w:r>
            <w:proofErr w:type="spellEnd"/>
            <w:r>
              <w:rPr>
                <w:lang w:val="bg-BG"/>
              </w:rPr>
              <w:t xml:space="preserve"> брой на персонала“ изчислен по критериите от приложение № 2 към чл. 56, ал. 2 от ППЗПП</w:t>
            </w:r>
          </w:p>
        </w:tc>
      </w:tr>
      <w:tr w:rsidR="00542C63" w:rsidRPr="00DD3D07" w:rsidTr="00542C63">
        <w:trPr>
          <w:trHeight w:val="642"/>
          <w:jc w:val="center"/>
        </w:trPr>
        <w:tc>
          <w:tcPr>
            <w:tcW w:w="3397" w:type="dxa"/>
            <w:tcBorders>
              <w:top w:val="nil"/>
              <w:left w:val="single" w:sz="4" w:space="0" w:color="000000"/>
              <w:bottom w:val="single" w:sz="4" w:space="0" w:color="000000"/>
              <w:right w:val="single" w:sz="4" w:space="0" w:color="000000"/>
            </w:tcBorders>
          </w:tcPr>
          <w:p w:rsidR="00542C63" w:rsidRPr="00DD3D07" w:rsidRDefault="00542C63" w:rsidP="003E2ACD">
            <w:pPr>
              <w:spacing w:after="0" w:line="259" w:lineRule="auto"/>
              <w:ind w:firstLine="0"/>
              <w:jc w:val="left"/>
              <w:rPr>
                <w:lang w:val="bg-BG"/>
              </w:rPr>
            </w:pPr>
            <w:r>
              <w:rPr>
                <w:lang w:val="bg-BG"/>
              </w:rPr>
              <w:t>Бални единици по критерий 3</w:t>
            </w:r>
          </w:p>
        </w:tc>
        <w:tc>
          <w:tcPr>
            <w:tcW w:w="5853" w:type="dxa"/>
            <w:tcBorders>
              <w:top w:val="nil"/>
              <w:left w:val="single" w:sz="4" w:space="0" w:color="000000"/>
              <w:bottom w:val="single" w:sz="4" w:space="0" w:color="000000"/>
              <w:right w:val="single" w:sz="4" w:space="0" w:color="000000"/>
            </w:tcBorders>
            <w:vAlign w:val="center"/>
          </w:tcPr>
          <w:p w:rsidR="00542C63" w:rsidRPr="00DD3D07" w:rsidRDefault="00801B47" w:rsidP="00801B47">
            <w:pPr>
              <w:spacing w:after="0" w:line="259" w:lineRule="auto"/>
              <w:ind w:firstLine="0"/>
              <w:jc w:val="left"/>
              <w:rPr>
                <w:lang w:val="bg-BG"/>
              </w:rPr>
            </w:pPr>
            <w:r>
              <w:rPr>
                <w:lang w:val="bg-BG"/>
              </w:rPr>
              <w:t>Попълва се броят на балните единици по критерия „Изменение на рентабилността на приходите от дейността“ изчислен по критериите от приложение № 2 към чл. 56, ал. 2 от ППЗПП</w:t>
            </w:r>
          </w:p>
        </w:tc>
      </w:tr>
      <w:tr w:rsidR="00542C63" w:rsidRPr="00DD3D07" w:rsidTr="00542C63">
        <w:trPr>
          <w:trHeight w:val="642"/>
          <w:jc w:val="center"/>
        </w:trPr>
        <w:tc>
          <w:tcPr>
            <w:tcW w:w="3397" w:type="dxa"/>
            <w:tcBorders>
              <w:top w:val="nil"/>
              <w:left w:val="single" w:sz="4" w:space="0" w:color="000000"/>
              <w:bottom w:val="single" w:sz="4" w:space="0" w:color="000000"/>
              <w:right w:val="single" w:sz="4" w:space="0" w:color="000000"/>
            </w:tcBorders>
          </w:tcPr>
          <w:p w:rsidR="00542C63" w:rsidRPr="00DD3D07" w:rsidRDefault="00542C63" w:rsidP="003E2ACD">
            <w:pPr>
              <w:spacing w:after="0" w:line="259" w:lineRule="auto"/>
              <w:ind w:firstLine="0"/>
              <w:jc w:val="left"/>
              <w:rPr>
                <w:lang w:val="bg-BG"/>
              </w:rPr>
            </w:pPr>
            <w:r>
              <w:rPr>
                <w:lang w:val="bg-BG"/>
              </w:rPr>
              <w:t>Бални единици по критерий 4</w:t>
            </w:r>
          </w:p>
        </w:tc>
        <w:tc>
          <w:tcPr>
            <w:tcW w:w="5853" w:type="dxa"/>
            <w:tcBorders>
              <w:top w:val="nil"/>
              <w:left w:val="single" w:sz="4" w:space="0" w:color="000000"/>
              <w:bottom w:val="single" w:sz="4" w:space="0" w:color="000000"/>
              <w:right w:val="single" w:sz="4" w:space="0" w:color="000000"/>
            </w:tcBorders>
            <w:vAlign w:val="center"/>
          </w:tcPr>
          <w:p w:rsidR="00542C63" w:rsidRPr="00DD3D07" w:rsidRDefault="00801B47" w:rsidP="009967A1">
            <w:pPr>
              <w:spacing w:after="0" w:line="259" w:lineRule="auto"/>
              <w:ind w:firstLine="0"/>
              <w:jc w:val="left"/>
              <w:rPr>
                <w:lang w:val="bg-BG"/>
              </w:rPr>
            </w:pPr>
            <w:r>
              <w:rPr>
                <w:lang w:val="bg-BG"/>
              </w:rPr>
              <w:t>Попълва се броят на балните единици по критерия „</w:t>
            </w:r>
            <w:r w:rsidR="009967A1">
              <w:rPr>
                <w:lang w:val="bg-BG"/>
              </w:rPr>
              <w:t xml:space="preserve">Съотношение между </w:t>
            </w:r>
            <w:proofErr w:type="spellStart"/>
            <w:r w:rsidR="009967A1">
              <w:rPr>
                <w:lang w:val="bg-BG"/>
              </w:rPr>
              <w:t>средносписъчния</w:t>
            </w:r>
            <w:proofErr w:type="spellEnd"/>
            <w:r w:rsidR="009967A1">
              <w:rPr>
                <w:lang w:val="bg-BG"/>
              </w:rPr>
              <w:t xml:space="preserve"> брой лекари специализанти и </w:t>
            </w:r>
            <w:proofErr w:type="spellStart"/>
            <w:r w:rsidR="009967A1">
              <w:rPr>
                <w:lang w:val="bg-BG"/>
              </w:rPr>
              <w:t>средносписъчния</w:t>
            </w:r>
            <w:proofErr w:type="spellEnd"/>
            <w:r w:rsidR="009967A1">
              <w:rPr>
                <w:lang w:val="bg-BG"/>
              </w:rPr>
              <w:t xml:space="preserve"> брой персонал</w:t>
            </w:r>
            <w:r>
              <w:rPr>
                <w:lang w:val="bg-BG"/>
              </w:rPr>
              <w:t xml:space="preserve">“ изчислен по критериите от </w:t>
            </w:r>
            <w:r w:rsidR="009967A1">
              <w:rPr>
                <w:lang w:val="bg-BG"/>
              </w:rPr>
              <w:t xml:space="preserve">протокол на едноличния </w:t>
            </w:r>
            <w:r w:rsidR="009967A1">
              <w:rPr>
                <w:lang w:val="bg-BG"/>
              </w:rPr>
              <w:lastRenderedPageBreak/>
              <w:t>собственик на капитала или общото събрание на акционерите</w:t>
            </w:r>
          </w:p>
        </w:tc>
      </w:tr>
      <w:tr w:rsidR="00542C63" w:rsidRPr="00DD3D07" w:rsidTr="00542C63">
        <w:trPr>
          <w:trHeight w:val="642"/>
          <w:jc w:val="center"/>
        </w:trPr>
        <w:tc>
          <w:tcPr>
            <w:tcW w:w="3397" w:type="dxa"/>
            <w:tcBorders>
              <w:top w:val="nil"/>
              <w:left w:val="single" w:sz="4" w:space="0" w:color="000000"/>
              <w:bottom w:val="single" w:sz="4" w:space="0" w:color="000000"/>
              <w:right w:val="single" w:sz="4" w:space="0" w:color="000000"/>
            </w:tcBorders>
          </w:tcPr>
          <w:p w:rsidR="00542C63" w:rsidRPr="00DD3D07" w:rsidRDefault="00542C63" w:rsidP="003E2ACD">
            <w:pPr>
              <w:spacing w:after="0" w:line="259" w:lineRule="auto"/>
              <w:ind w:firstLine="0"/>
              <w:jc w:val="left"/>
              <w:rPr>
                <w:lang w:val="bg-BG"/>
              </w:rPr>
            </w:pPr>
            <w:r>
              <w:rPr>
                <w:lang w:val="bg-BG"/>
              </w:rPr>
              <w:lastRenderedPageBreak/>
              <w:t>Бални единици по критерий 5</w:t>
            </w:r>
          </w:p>
        </w:tc>
        <w:tc>
          <w:tcPr>
            <w:tcW w:w="5853" w:type="dxa"/>
            <w:tcBorders>
              <w:top w:val="nil"/>
              <w:left w:val="single" w:sz="4" w:space="0" w:color="000000"/>
              <w:bottom w:val="single" w:sz="4" w:space="0" w:color="000000"/>
              <w:right w:val="single" w:sz="4" w:space="0" w:color="000000"/>
            </w:tcBorders>
            <w:vAlign w:val="center"/>
          </w:tcPr>
          <w:p w:rsidR="00542C63" w:rsidRPr="00DD3D07" w:rsidRDefault="009967A1" w:rsidP="009967A1">
            <w:pPr>
              <w:spacing w:after="0" w:line="259" w:lineRule="auto"/>
              <w:ind w:firstLine="0"/>
              <w:jc w:val="left"/>
              <w:rPr>
                <w:lang w:val="bg-BG"/>
              </w:rPr>
            </w:pPr>
            <w:r w:rsidRPr="009967A1">
              <w:rPr>
                <w:lang w:val="bg-BG"/>
              </w:rPr>
              <w:t>Попълва се броят на балните единици по критерия „</w:t>
            </w:r>
            <w:r>
              <w:rPr>
                <w:lang w:val="bg-BG"/>
              </w:rPr>
              <w:t xml:space="preserve">Нива на достигнатите </w:t>
            </w:r>
            <w:proofErr w:type="spellStart"/>
            <w:r>
              <w:rPr>
                <w:lang w:val="bg-BG"/>
              </w:rPr>
              <w:t>средномесечни</w:t>
            </w:r>
            <w:proofErr w:type="spellEnd"/>
            <w:r>
              <w:rPr>
                <w:lang w:val="bg-BG"/>
              </w:rPr>
              <w:t xml:space="preserve"> възнаграждения, определени с отрасловия колективен трудов договор, за отрасъл „Здравеопазване</w:t>
            </w:r>
            <w:r w:rsidRPr="009967A1">
              <w:rPr>
                <w:lang w:val="bg-BG"/>
              </w:rPr>
              <w:t>“ изчислен по критериите от протокол на едноличния собственик на капитала или общото събрание на акционерите</w:t>
            </w:r>
          </w:p>
        </w:tc>
      </w:tr>
      <w:tr w:rsidR="00625A20" w:rsidRPr="00DD3D07" w:rsidTr="006644D8">
        <w:trPr>
          <w:trHeight w:val="642"/>
          <w:jc w:val="center"/>
        </w:trPr>
        <w:tc>
          <w:tcPr>
            <w:tcW w:w="3397" w:type="dxa"/>
            <w:tcBorders>
              <w:top w:val="nil"/>
              <w:left w:val="single" w:sz="4" w:space="0" w:color="000000"/>
              <w:bottom w:val="single" w:sz="4" w:space="0" w:color="000000"/>
              <w:right w:val="single" w:sz="4" w:space="0" w:color="000000"/>
            </w:tcBorders>
          </w:tcPr>
          <w:p w:rsidR="00625A20" w:rsidRPr="00DD3D07" w:rsidRDefault="00244165" w:rsidP="003E2ACD">
            <w:pPr>
              <w:spacing w:after="0" w:line="259" w:lineRule="auto"/>
              <w:ind w:firstLine="0"/>
              <w:jc w:val="left"/>
              <w:rPr>
                <w:lang w:val="bg-BG"/>
              </w:rPr>
            </w:pPr>
            <w:r w:rsidRPr="00DD3D07">
              <w:rPr>
                <w:lang w:val="bg-BG"/>
              </w:rPr>
              <w:t>Стойност на балната единица</w:t>
            </w:r>
          </w:p>
        </w:tc>
        <w:tc>
          <w:tcPr>
            <w:tcW w:w="5853" w:type="dxa"/>
            <w:tcBorders>
              <w:top w:val="nil"/>
              <w:left w:val="single" w:sz="4" w:space="0" w:color="000000"/>
              <w:bottom w:val="single" w:sz="4" w:space="0" w:color="000000"/>
              <w:right w:val="single" w:sz="4" w:space="0" w:color="000000"/>
            </w:tcBorders>
            <w:vAlign w:val="center"/>
          </w:tcPr>
          <w:p w:rsidR="00625A20" w:rsidRPr="00DD3D07" w:rsidRDefault="00625A20" w:rsidP="003E2ACD">
            <w:pPr>
              <w:spacing w:after="0" w:line="259" w:lineRule="auto"/>
              <w:ind w:firstLine="0"/>
              <w:jc w:val="left"/>
              <w:rPr>
                <w:lang w:val="bg-BG"/>
              </w:rPr>
            </w:pPr>
            <w:r w:rsidRPr="00DD3D07">
              <w:rPr>
                <w:lang w:val="bg-BG"/>
              </w:rPr>
              <w:t xml:space="preserve">Задължително се попълва </w:t>
            </w:r>
          </w:p>
        </w:tc>
      </w:tr>
      <w:tr w:rsidR="00625A20" w:rsidRPr="00DD3D07" w:rsidTr="006644D8">
        <w:trPr>
          <w:trHeight w:val="56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625A20" w:rsidRPr="00DD3D07" w:rsidRDefault="00625A20" w:rsidP="003E2ACD">
            <w:pPr>
              <w:spacing w:after="0" w:line="259" w:lineRule="auto"/>
              <w:ind w:firstLine="0"/>
              <w:jc w:val="left"/>
              <w:rPr>
                <w:lang w:val="bg-BG"/>
              </w:rPr>
            </w:pPr>
            <w:r w:rsidRPr="00DD3D07">
              <w:rPr>
                <w:lang w:val="bg-BG"/>
              </w:rPr>
              <w:t xml:space="preserve">Начислена сума </w:t>
            </w:r>
            <w:r w:rsidR="009967A1">
              <w:rPr>
                <w:lang w:val="bg-BG"/>
              </w:rPr>
              <w:t>по договори за управление и контрол</w:t>
            </w:r>
            <w:r w:rsidRPr="00DD3D07">
              <w:rPr>
                <w:lang w:val="bg-BG"/>
              </w:rPr>
              <w:t xml:space="preserve">(лева)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DD3D07" w:rsidP="00DD3D07">
            <w:pPr>
              <w:spacing w:after="0" w:line="259" w:lineRule="auto"/>
              <w:ind w:firstLine="0"/>
              <w:jc w:val="left"/>
              <w:rPr>
                <w:lang w:val="bg-BG"/>
              </w:rPr>
            </w:pPr>
            <w:r>
              <w:rPr>
                <w:lang w:val="bg-BG"/>
              </w:rPr>
              <w:t>Тази стойн</w:t>
            </w:r>
            <w:r w:rsidR="009967A1">
              <w:rPr>
                <w:lang w:val="bg-BG"/>
              </w:rPr>
              <w:t>о</w:t>
            </w:r>
            <w:r>
              <w:rPr>
                <w:lang w:val="bg-BG"/>
              </w:rPr>
              <w:t>ст</w:t>
            </w:r>
            <w:r w:rsidR="00625A20" w:rsidRPr="00DD3D07">
              <w:rPr>
                <w:lang w:val="bg-BG"/>
              </w:rPr>
              <w:t xml:space="preserve"> се прехвърля автоматично на съответния ред в </w:t>
            </w:r>
            <w:r w:rsidRPr="00304CFC">
              <w:rPr>
                <w:lang w:val="bg-BG"/>
              </w:rPr>
              <w:t xml:space="preserve">Т01 </w:t>
            </w:r>
            <w:r>
              <w:rPr>
                <w:lang w:val="bg-BG"/>
              </w:rPr>
              <w:t>„О</w:t>
            </w:r>
            <w:r w:rsidRPr="00304CFC">
              <w:rPr>
                <w:lang w:val="bg-BG"/>
              </w:rPr>
              <w:t>тчет за всеобхватния доход</w:t>
            </w:r>
            <w:r>
              <w:rPr>
                <w:lang w:val="bg-BG"/>
              </w:rPr>
              <w:t>“</w:t>
            </w:r>
          </w:p>
        </w:tc>
      </w:tr>
      <w:tr w:rsidR="00625A20" w:rsidRPr="00DD3D07" w:rsidTr="006644D8">
        <w:trPr>
          <w:trHeight w:val="56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625A20" w:rsidRPr="00DD3D07" w:rsidRDefault="00625A20" w:rsidP="003E2ACD">
            <w:pPr>
              <w:spacing w:after="0" w:line="259" w:lineRule="auto"/>
              <w:ind w:firstLine="0"/>
              <w:jc w:val="left"/>
              <w:rPr>
                <w:lang w:val="bg-BG"/>
              </w:rPr>
            </w:pPr>
            <w:r w:rsidRPr="00DD3D07">
              <w:rPr>
                <w:lang w:val="bg-BG"/>
              </w:rPr>
              <w:t xml:space="preserve">от нея за обезщетения </w:t>
            </w:r>
          </w:p>
        </w:tc>
        <w:tc>
          <w:tcPr>
            <w:tcW w:w="5853" w:type="dxa"/>
            <w:tcBorders>
              <w:top w:val="single" w:sz="4" w:space="0" w:color="000000"/>
              <w:left w:val="single" w:sz="4" w:space="0" w:color="000000"/>
              <w:bottom w:val="single" w:sz="4" w:space="0" w:color="000000"/>
              <w:right w:val="single" w:sz="4" w:space="0" w:color="000000"/>
            </w:tcBorders>
          </w:tcPr>
          <w:p w:rsidR="00625A20" w:rsidRPr="00DD3D07" w:rsidRDefault="00625A20" w:rsidP="003E2ACD">
            <w:pPr>
              <w:spacing w:after="0" w:line="259" w:lineRule="auto"/>
              <w:ind w:firstLine="0"/>
              <w:jc w:val="left"/>
              <w:rPr>
                <w:lang w:val="bg-BG"/>
              </w:rPr>
            </w:pPr>
            <w:r w:rsidRPr="00DD3D07">
              <w:rPr>
                <w:lang w:val="bg-BG"/>
              </w:rPr>
              <w:t xml:space="preserve">Посочва се "0" при липса на начислени обезщетения, или се посочва сумата на обезщетението </w:t>
            </w:r>
          </w:p>
        </w:tc>
      </w:tr>
      <w:tr w:rsidR="009967A1" w:rsidRPr="00A62E30" w:rsidTr="00542C63">
        <w:trPr>
          <w:trHeight w:val="838"/>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9967A1" w:rsidRPr="00DD3D07" w:rsidRDefault="009967A1" w:rsidP="003E2ACD">
            <w:pPr>
              <w:spacing w:after="0" w:line="259" w:lineRule="auto"/>
              <w:ind w:firstLine="0"/>
              <w:jc w:val="left"/>
              <w:rPr>
                <w:lang w:val="bg-BG"/>
              </w:rPr>
            </w:pPr>
            <w:r>
              <w:rPr>
                <w:lang w:val="bg-BG"/>
              </w:rPr>
              <w:t>Начислена сума по други договори с дружеството майка (лева)</w:t>
            </w:r>
          </w:p>
        </w:tc>
        <w:tc>
          <w:tcPr>
            <w:tcW w:w="5853" w:type="dxa"/>
            <w:tcBorders>
              <w:top w:val="single" w:sz="4" w:space="0" w:color="000000"/>
              <w:left w:val="single" w:sz="4" w:space="0" w:color="000000"/>
              <w:bottom w:val="single" w:sz="4" w:space="0" w:color="000000"/>
              <w:right w:val="single" w:sz="4" w:space="0" w:color="000000"/>
            </w:tcBorders>
          </w:tcPr>
          <w:p w:rsidR="009967A1" w:rsidRPr="00DD3D07" w:rsidRDefault="009967A1" w:rsidP="009967A1">
            <w:pPr>
              <w:spacing w:after="0" w:line="259" w:lineRule="auto"/>
              <w:ind w:firstLine="0"/>
              <w:jc w:val="left"/>
              <w:rPr>
                <w:lang w:val="bg-BG"/>
              </w:rPr>
            </w:pPr>
            <w:r>
              <w:rPr>
                <w:lang w:val="bg-BG"/>
              </w:rPr>
              <w:t>Въвеждат се начислените суми по други договори с дружеството майка на лицето за съответния месец.</w:t>
            </w:r>
          </w:p>
        </w:tc>
      </w:tr>
      <w:tr w:rsidR="009967A1" w:rsidRPr="00A62E30" w:rsidTr="00542C63">
        <w:trPr>
          <w:trHeight w:val="838"/>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9967A1" w:rsidRPr="00DD3D07" w:rsidRDefault="009967A1" w:rsidP="009967A1">
            <w:pPr>
              <w:spacing w:after="0" w:line="259" w:lineRule="auto"/>
              <w:ind w:firstLine="0"/>
              <w:jc w:val="left"/>
              <w:rPr>
                <w:lang w:val="bg-BG"/>
              </w:rPr>
            </w:pPr>
            <w:r>
              <w:rPr>
                <w:lang w:val="bg-BG"/>
              </w:rPr>
              <w:t>Начислена сума по други договори с дъщерни дружества (лева)</w:t>
            </w:r>
          </w:p>
        </w:tc>
        <w:tc>
          <w:tcPr>
            <w:tcW w:w="5853" w:type="dxa"/>
            <w:tcBorders>
              <w:top w:val="single" w:sz="4" w:space="0" w:color="000000"/>
              <w:left w:val="single" w:sz="4" w:space="0" w:color="000000"/>
              <w:bottom w:val="single" w:sz="4" w:space="0" w:color="000000"/>
              <w:right w:val="single" w:sz="4" w:space="0" w:color="000000"/>
            </w:tcBorders>
          </w:tcPr>
          <w:p w:rsidR="009967A1" w:rsidRPr="00DD3D07" w:rsidRDefault="009967A1" w:rsidP="009967A1">
            <w:pPr>
              <w:spacing w:after="0" w:line="259" w:lineRule="auto"/>
              <w:ind w:firstLine="0"/>
              <w:jc w:val="left"/>
              <w:rPr>
                <w:lang w:val="bg-BG"/>
              </w:rPr>
            </w:pPr>
            <w:r>
              <w:rPr>
                <w:lang w:val="bg-BG"/>
              </w:rPr>
              <w:t>Въвеждат се начислените суми по други договори с дъщерни дружества на лицето за съответния месец.</w:t>
            </w:r>
          </w:p>
        </w:tc>
      </w:tr>
      <w:tr w:rsidR="009967A1" w:rsidRPr="00A62E30" w:rsidTr="006644D8">
        <w:trPr>
          <w:trHeight w:val="838"/>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9967A1" w:rsidRPr="00DD3D07" w:rsidRDefault="009967A1" w:rsidP="009967A1">
            <w:pPr>
              <w:spacing w:after="0" w:line="259" w:lineRule="auto"/>
              <w:ind w:firstLine="0"/>
              <w:jc w:val="left"/>
              <w:rPr>
                <w:lang w:val="bg-BG"/>
              </w:rPr>
            </w:pPr>
            <w:r w:rsidRPr="00DD3D07">
              <w:rPr>
                <w:lang w:val="bg-BG"/>
              </w:rPr>
              <w:t xml:space="preserve">Пояснение </w:t>
            </w:r>
          </w:p>
        </w:tc>
        <w:tc>
          <w:tcPr>
            <w:tcW w:w="5853" w:type="dxa"/>
            <w:tcBorders>
              <w:top w:val="single" w:sz="4" w:space="0" w:color="000000"/>
              <w:left w:val="single" w:sz="4" w:space="0" w:color="000000"/>
              <w:bottom w:val="single" w:sz="4" w:space="0" w:color="000000"/>
              <w:right w:val="single" w:sz="4" w:space="0" w:color="000000"/>
            </w:tcBorders>
          </w:tcPr>
          <w:p w:rsidR="009967A1" w:rsidRPr="00A62E30" w:rsidRDefault="009967A1" w:rsidP="009967A1">
            <w:pPr>
              <w:spacing w:after="0" w:line="259" w:lineRule="auto"/>
              <w:ind w:firstLine="0"/>
              <w:jc w:val="left"/>
              <w:rPr>
                <w:lang w:val="bg-BG"/>
              </w:rPr>
            </w:pPr>
            <w:r w:rsidRPr="00DD3D07">
              <w:rPr>
                <w:lang w:val="bg-BG"/>
              </w:rPr>
              <w:t>Посочвате вида на обезщетението или други специфики при начислението, които считате, че следва да декларирате</w:t>
            </w:r>
            <w:r w:rsidRPr="00A62E30">
              <w:rPr>
                <w:lang w:val="bg-BG"/>
              </w:rPr>
              <w:t xml:space="preserve"> </w:t>
            </w:r>
          </w:p>
        </w:tc>
      </w:tr>
    </w:tbl>
    <w:p w:rsidR="00053685" w:rsidRPr="00A62E30" w:rsidRDefault="00053685" w:rsidP="00151082">
      <w:pPr>
        <w:pStyle w:val="Heading2"/>
        <w:ind w:left="0" w:right="0" w:firstLine="0"/>
        <w:rPr>
          <w:lang w:val="bg-BG"/>
        </w:rPr>
      </w:pPr>
    </w:p>
    <w:p w:rsidR="00F23E0A" w:rsidRDefault="00014794" w:rsidP="002952F3">
      <w:pPr>
        <w:pStyle w:val="Heading2"/>
        <w:ind w:left="0" w:right="0" w:firstLine="851"/>
        <w:rPr>
          <w:lang w:val="bg-BG"/>
        </w:rPr>
      </w:pPr>
      <w:r w:rsidRPr="00A62E30">
        <w:rPr>
          <w:lang w:val="bg-BG"/>
        </w:rPr>
        <w:t xml:space="preserve">Т12 СПРАВКА ПО ОБОРОТИ И САЛДА КЪМ КРАЙНАТА ДАТА НА ОТЧЕТА, ЗА ДОГОВОРИТЕ, ПО КОИТО ИМА САЛДА И/ИЛИ ОБОРОТИ ИЛИ СА БИЛИ АКТИВНИ ПРЕЗ ПЕРИОДА ОТ ДАТА ДО ДАТА </w:t>
      </w:r>
    </w:p>
    <w:p w:rsidR="00F23E0A" w:rsidRPr="00304CFC" w:rsidRDefault="00014794">
      <w:pPr>
        <w:ind w:left="-15" w:right="0"/>
        <w:rPr>
          <w:lang w:val="bg-BG"/>
        </w:rPr>
      </w:pPr>
      <w:r w:rsidRPr="00A62E30">
        <w:rPr>
          <w:lang w:val="bg-BG"/>
        </w:rPr>
        <w:t xml:space="preserve">Попълването изисква посочване на всеки договор, диференцирано ЕИК или ЕГН. Тук се посочват всички договори по </w:t>
      </w:r>
      <w:proofErr w:type="spellStart"/>
      <w:r w:rsidR="007D5D47">
        <w:rPr>
          <w:lang w:val="bg-BG"/>
        </w:rPr>
        <w:t>извън</w:t>
      </w:r>
      <w:r w:rsidR="00A62E30" w:rsidRPr="00A62E30">
        <w:rPr>
          <w:lang w:val="bg-BG"/>
        </w:rPr>
        <w:t>трудови</w:t>
      </w:r>
      <w:proofErr w:type="spellEnd"/>
      <w:r w:rsidRPr="00A62E30">
        <w:rPr>
          <w:lang w:val="bg-BG"/>
        </w:rPr>
        <w:t xml:space="preserve"> </w:t>
      </w:r>
      <w:r w:rsidR="00A62E30">
        <w:rPr>
          <w:lang w:val="bg-BG"/>
        </w:rPr>
        <w:t>право</w:t>
      </w:r>
      <w:r w:rsidRPr="00A62E30">
        <w:rPr>
          <w:lang w:val="bg-BG"/>
        </w:rPr>
        <w:t xml:space="preserve">отношения. Този тип разходи намира отражение на ред „Разходи за персонала - Възнаграждения по </w:t>
      </w:r>
      <w:proofErr w:type="spellStart"/>
      <w:r w:rsidR="007D5D47">
        <w:rPr>
          <w:lang w:val="bg-BG"/>
        </w:rPr>
        <w:t>извън</w:t>
      </w:r>
      <w:r w:rsidR="00A62E30" w:rsidRPr="00A62E30">
        <w:rPr>
          <w:lang w:val="bg-BG"/>
        </w:rPr>
        <w:t>трудови</w:t>
      </w:r>
      <w:proofErr w:type="spellEnd"/>
      <w:r w:rsidRPr="00A62E30">
        <w:rPr>
          <w:lang w:val="bg-BG"/>
        </w:rPr>
        <w:t xml:space="preserve"> правоотношения“ и следва да се избере „Възнаграждения по </w:t>
      </w:r>
      <w:proofErr w:type="spellStart"/>
      <w:r w:rsidR="007D5D47">
        <w:rPr>
          <w:lang w:val="bg-BG"/>
        </w:rPr>
        <w:t>извън</w:t>
      </w:r>
      <w:r w:rsidR="00A62E30" w:rsidRPr="00A62E30">
        <w:rPr>
          <w:lang w:val="bg-BG"/>
        </w:rPr>
        <w:t>трудови</w:t>
      </w:r>
      <w:proofErr w:type="spellEnd"/>
      <w:r w:rsidRPr="00A62E30">
        <w:rPr>
          <w:lang w:val="bg-BG"/>
        </w:rPr>
        <w:t xml:space="preserve"> правоотношения“ в кол. „Елемент в отчета за доходите или финансовия отчет“ Задълженията, възникнали без договорни отношения също се посочват в таблицата на ниво ЕИК/ЕГН и елемент, в съответната графа за данни за договора не се вписва нищо, в кол. „Предмет</w:t>
      </w:r>
      <w:r w:rsidRPr="00304CFC">
        <w:rPr>
          <w:lang w:val="bg-BG"/>
        </w:rPr>
        <w:t xml:space="preserve"> на договора (пояснение)“ вписвате липсата на договорни отношения и коментар, по обстоятелствата, наложили я. </w:t>
      </w:r>
    </w:p>
    <w:p w:rsidR="00285215" w:rsidRDefault="00014794" w:rsidP="00151082">
      <w:pPr>
        <w:ind w:left="-15" w:right="0"/>
        <w:rPr>
          <w:lang w:val="bg-BG"/>
        </w:rPr>
      </w:pPr>
      <w:r w:rsidRPr="00304CFC">
        <w:rPr>
          <w:lang w:val="bg-BG"/>
        </w:rPr>
        <w:t xml:space="preserve">Извършва се логическа проверка на коректността на идентификатора. Всички полета са задължителни за попълване в предвидения формат/номенклатура. В частта „Елемент в отчета за доходите или финансовия отчет“ се избира елементът по който разходът ще бъде класифициран в ОПР/баланс или ако е повече от един, този с по-висока очаквана стойност. В </w:t>
      </w:r>
      <w:r w:rsidRPr="00304CFC">
        <w:rPr>
          <w:lang w:val="bg-BG"/>
        </w:rPr>
        <w:lastRenderedPageBreak/>
        <w:t>случай, че такъв не бъде избран, в Т04 ще се изпише съобщение за грешка. Посочените обороти следва да отговаря</w:t>
      </w:r>
      <w:r w:rsidR="00151082">
        <w:rPr>
          <w:lang w:val="bg-BG"/>
        </w:rPr>
        <w:t>т на балансовите числа.</w:t>
      </w:r>
    </w:p>
    <w:p w:rsidR="00BD2565" w:rsidRDefault="00BD2565" w:rsidP="00151082">
      <w:pPr>
        <w:ind w:left="-15" w:right="0"/>
        <w:rPr>
          <w:lang w:val="bg-BG"/>
        </w:rPr>
      </w:pPr>
    </w:p>
    <w:p w:rsidR="00F23E0A" w:rsidRDefault="00014794">
      <w:pPr>
        <w:pStyle w:val="Heading2"/>
        <w:ind w:left="847" w:right="0"/>
        <w:rPr>
          <w:lang w:val="bg-BG"/>
        </w:rPr>
      </w:pPr>
      <w:r w:rsidRPr="00304CFC">
        <w:rPr>
          <w:lang w:val="bg-BG"/>
        </w:rPr>
        <w:t xml:space="preserve">Т13 </w:t>
      </w:r>
      <w:r w:rsidRPr="00A83A32">
        <w:rPr>
          <w:lang w:val="bg-BG"/>
        </w:rPr>
        <w:t xml:space="preserve">ОТЧЕТ ЗА НЕТНАТА ЕКСПОЗИЦИЯ КЪМ ДАТА </w:t>
      </w:r>
    </w:p>
    <w:p w:rsidR="00F23E0A" w:rsidRDefault="00D45CD8" w:rsidP="00151082">
      <w:pPr>
        <w:ind w:left="-15" w:right="0"/>
        <w:rPr>
          <w:lang w:val="bg-BG"/>
        </w:rPr>
      </w:pPr>
      <w:r w:rsidRPr="00A83A32">
        <w:rPr>
          <w:color w:val="auto"/>
          <w:lang w:val="bg-BG"/>
        </w:rPr>
        <w:t xml:space="preserve">В </w:t>
      </w:r>
      <w:r w:rsidRPr="00A83A32">
        <w:rPr>
          <w:lang w:val="bg-BG"/>
        </w:rPr>
        <w:t>т</w:t>
      </w:r>
      <w:r w:rsidR="00014794" w:rsidRPr="00A83A32">
        <w:rPr>
          <w:lang w:val="bg-BG"/>
        </w:rPr>
        <w:t xml:space="preserve">аблицата са изброени всички лицензирани от БНБ банки и чуждестранни клонове. </w:t>
      </w:r>
      <w:r w:rsidR="00224205">
        <w:rPr>
          <w:lang w:val="bg-BG"/>
        </w:rPr>
        <w:t xml:space="preserve">Информацията се попълва на основани чл. 28 ал. 4 от Правилника </w:t>
      </w:r>
      <w:r w:rsidR="00224205" w:rsidRPr="00224205">
        <w:rPr>
          <w:lang w:val="bg-BG"/>
        </w:rPr>
        <w:t xml:space="preserve">за прилагане на </w:t>
      </w:r>
      <w:r w:rsidR="00151082">
        <w:rPr>
          <w:lang w:val="bg-BG"/>
        </w:rPr>
        <w:t>Закона за публичните предприятия.</w:t>
      </w:r>
    </w:p>
    <w:p w:rsidR="00BD2565" w:rsidRPr="00304CFC" w:rsidRDefault="00BD2565" w:rsidP="00151082">
      <w:pPr>
        <w:ind w:left="-15" w:right="0"/>
        <w:rPr>
          <w:lang w:val="bg-BG"/>
        </w:rPr>
      </w:pPr>
    </w:p>
    <w:p w:rsidR="00DD3D07" w:rsidRPr="00DD3D07" w:rsidRDefault="00014794" w:rsidP="00151082">
      <w:pPr>
        <w:pStyle w:val="Heading2"/>
        <w:ind w:left="0" w:right="0" w:firstLine="852"/>
        <w:rPr>
          <w:lang w:val="bg-BG"/>
        </w:rPr>
      </w:pPr>
      <w:r w:rsidRPr="00304CFC">
        <w:rPr>
          <w:lang w:val="bg-BG"/>
        </w:rPr>
        <w:t xml:space="preserve">Т14 ДЕЙНОСТ С НАТУРАЛНИ И СТОЙНОСТНИ ПОКАЗАТЕЛИ ПО БОЛНИЧНИ ЗВЕНА ОТ ДАТА ДО ДАТА </w:t>
      </w:r>
    </w:p>
    <w:p w:rsidR="00F23E0A" w:rsidRPr="00304CFC" w:rsidRDefault="00014794">
      <w:pPr>
        <w:spacing w:after="36"/>
        <w:ind w:left="852" w:right="0" w:firstLine="0"/>
        <w:rPr>
          <w:lang w:val="bg-BG"/>
        </w:rPr>
      </w:pPr>
      <w:r w:rsidRPr="00304CFC">
        <w:rPr>
          <w:lang w:val="bg-BG"/>
        </w:rPr>
        <w:t xml:space="preserve">Справката се попълва на ниво най-малка структурна единица. В полето „Код в </w:t>
      </w:r>
      <w:proofErr w:type="spellStart"/>
      <w:r w:rsidRPr="00304CFC">
        <w:rPr>
          <w:lang w:val="bg-BG"/>
        </w:rPr>
        <w:t>счет</w:t>
      </w:r>
      <w:proofErr w:type="spellEnd"/>
      <w:r w:rsidRPr="00304CFC">
        <w:rPr>
          <w:lang w:val="bg-BG"/>
        </w:rPr>
        <w:t xml:space="preserve">. </w:t>
      </w:r>
    </w:p>
    <w:p w:rsidR="00F23E0A" w:rsidRDefault="00014794" w:rsidP="00151082">
      <w:pPr>
        <w:spacing w:after="199"/>
        <w:ind w:left="-15" w:right="0" w:firstLine="0"/>
        <w:rPr>
          <w:lang w:val="bg-BG"/>
        </w:rPr>
      </w:pPr>
      <w:r w:rsidRPr="00304CFC">
        <w:rPr>
          <w:lang w:val="bg-BG"/>
        </w:rPr>
        <w:t xml:space="preserve">с-ма“ се посочва, кодът </w:t>
      </w:r>
      <w:r w:rsidR="004A5E1E">
        <w:rPr>
          <w:lang w:val="bg-BG"/>
        </w:rPr>
        <w:t>по</w:t>
      </w:r>
      <w:r w:rsidRPr="00304CFC">
        <w:rPr>
          <w:lang w:val="bg-BG"/>
        </w:rPr>
        <w:t xml:space="preserve"> който се осчетоводяват приходите и разходите на съответното звено. Една структурна единица от разрешителното за дейност може да бъде разделена на множество структурни единици (кодове) в счетоводната система. Първата част от таблицата касае структурата на болницата. </w:t>
      </w:r>
    </w:p>
    <w:p w:rsidR="00F23E0A" w:rsidRPr="00224205" w:rsidRDefault="00014794" w:rsidP="00151082">
      <w:pPr>
        <w:pStyle w:val="Heading2"/>
        <w:ind w:left="-15" w:right="0" w:firstLine="724"/>
        <w:rPr>
          <w:lang w:val="bg-BG"/>
        </w:rPr>
      </w:pPr>
      <w:r w:rsidRPr="00224205">
        <w:rPr>
          <w:lang w:val="bg-BG"/>
        </w:rPr>
        <w:t xml:space="preserve">I. Данни за структурното звено, по правилник за вътрешния ред, с диференциация по кодове в счетоводната система </w:t>
      </w:r>
    </w:p>
    <w:p w:rsidR="00F23E0A" w:rsidRPr="00304CFC" w:rsidRDefault="00014794" w:rsidP="00151082">
      <w:pPr>
        <w:ind w:left="-15" w:right="0" w:firstLine="724"/>
        <w:rPr>
          <w:lang w:val="bg-BG"/>
        </w:rPr>
      </w:pPr>
      <w:r w:rsidRPr="00304CFC">
        <w:rPr>
          <w:b/>
          <w:lang w:val="bg-BG"/>
        </w:rPr>
        <w:t>1.1. Код в счет</w:t>
      </w:r>
      <w:r w:rsidR="00190879">
        <w:rPr>
          <w:b/>
          <w:lang w:val="bg-BG"/>
        </w:rPr>
        <w:t>оводната система</w:t>
      </w:r>
      <w:r w:rsidRPr="00304CFC">
        <w:rPr>
          <w:lang w:val="bg-BG"/>
        </w:rPr>
        <w:t xml:space="preserve"> – кодът на разходния център в счетоводната система. Целта на този код е да се улесни попълването на останалата част от таблицата, посредством извличане на данни от оборотната ведомост на ниво звено и счетоводна сметка без да се прави обобщаване на данни. </w:t>
      </w:r>
    </w:p>
    <w:p w:rsidR="00F23E0A" w:rsidRPr="00304CFC" w:rsidRDefault="00014794" w:rsidP="00151082">
      <w:pPr>
        <w:ind w:left="-15" w:right="0" w:firstLine="724"/>
        <w:rPr>
          <w:lang w:val="bg-BG"/>
        </w:rPr>
      </w:pPr>
      <w:r w:rsidRPr="00304CFC">
        <w:rPr>
          <w:b/>
          <w:lang w:val="bg-BG"/>
        </w:rPr>
        <w:t>1.2. Вид структурно</w:t>
      </w:r>
      <w:r w:rsidR="00053685">
        <w:rPr>
          <w:b/>
          <w:lang w:val="bg-BG"/>
        </w:rPr>
        <w:t xml:space="preserve"> звено</w:t>
      </w:r>
      <w:r w:rsidRPr="00304CFC">
        <w:rPr>
          <w:b/>
          <w:lang w:val="bg-BG"/>
        </w:rPr>
        <w:t xml:space="preserve"> по Наредба 49</w:t>
      </w:r>
      <w:r w:rsidRPr="00304CFC">
        <w:rPr>
          <w:lang w:val="bg-BG"/>
        </w:rPr>
        <w:t xml:space="preserve"> –</w:t>
      </w:r>
      <w:r w:rsidR="00053685">
        <w:rPr>
          <w:lang w:val="bg-BG"/>
        </w:rPr>
        <w:t xml:space="preserve"> </w:t>
      </w:r>
      <w:r w:rsidRPr="00304CFC">
        <w:rPr>
          <w:lang w:val="bg-BG"/>
        </w:rPr>
        <w:t xml:space="preserve">поддържа се класификация на видове структурни звена съгласно Наредба № 49 от 18 октомври 2010 г. за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 (избира се от падащо меню). – КДБ/регистратура; КДБ/консултативни кабинети; КДБ/лаборатории; КДБ/отделения без легла; КДБ/спешно отделение; Стационар/клиника с легла/отделение с легла; Стационар/клиника с легла/отделение без легла; Стационар/клиника без легла; </w:t>
      </w:r>
    </w:p>
    <w:p w:rsidR="00F23E0A" w:rsidRPr="00304CFC" w:rsidRDefault="00014794" w:rsidP="00151082">
      <w:pPr>
        <w:ind w:left="-15" w:right="0" w:firstLine="724"/>
        <w:rPr>
          <w:lang w:val="bg-BG"/>
        </w:rPr>
      </w:pPr>
      <w:r w:rsidRPr="00304CFC">
        <w:rPr>
          <w:lang w:val="bg-BG"/>
        </w:rPr>
        <w:t xml:space="preserve">Стационар/отделение без легла; Стационар/отделение с легла; Стационар/операционни зали; </w:t>
      </w:r>
    </w:p>
    <w:p w:rsidR="00F23E0A" w:rsidRPr="00304CFC" w:rsidRDefault="00014794" w:rsidP="00151082">
      <w:pPr>
        <w:ind w:left="-15" w:right="0" w:firstLine="724"/>
        <w:rPr>
          <w:lang w:val="bg-BG"/>
        </w:rPr>
      </w:pPr>
      <w:r w:rsidRPr="00304CFC">
        <w:rPr>
          <w:lang w:val="bg-BG"/>
        </w:rPr>
        <w:t xml:space="preserve">АСБ/административни звена; АСБ/стопански звена; АСБ/обслужващи звена </w:t>
      </w:r>
    </w:p>
    <w:p w:rsidR="00F23E0A" w:rsidRPr="00304CFC" w:rsidRDefault="00014794" w:rsidP="00151082">
      <w:pPr>
        <w:spacing w:after="5" w:line="268" w:lineRule="auto"/>
        <w:ind w:left="-15" w:right="0" w:firstLine="724"/>
        <w:jc w:val="left"/>
        <w:rPr>
          <w:lang w:val="bg-BG"/>
        </w:rPr>
      </w:pPr>
      <w:r w:rsidRPr="00304CFC">
        <w:rPr>
          <w:b/>
          <w:lang w:val="bg-BG"/>
        </w:rPr>
        <w:t>1.3. Название и принадлежност, според правилника</w:t>
      </w:r>
      <w:r w:rsidRPr="00304CFC">
        <w:rPr>
          <w:lang w:val="bg-BG"/>
        </w:rPr>
        <w:t xml:space="preserve"> – изписва се названието на звеното и принадлежността му според правилника, пример - Отделение по хирургия на ръката към клиника по ортопедия и травматология </w:t>
      </w:r>
    </w:p>
    <w:p w:rsidR="00F23E0A" w:rsidRPr="00304CFC" w:rsidRDefault="00014794" w:rsidP="00151082">
      <w:pPr>
        <w:spacing w:after="5" w:line="268" w:lineRule="auto"/>
        <w:ind w:left="-15" w:right="0" w:firstLine="724"/>
        <w:jc w:val="left"/>
        <w:rPr>
          <w:lang w:val="bg-BG"/>
        </w:rPr>
      </w:pPr>
      <w:r w:rsidRPr="00304CFC">
        <w:rPr>
          <w:b/>
          <w:lang w:val="bg-BG"/>
        </w:rPr>
        <w:t>1.4.Спец. 1</w:t>
      </w:r>
      <w:r w:rsidRPr="00304CFC">
        <w:rPr>
          <w:lang w:val="bg-BG"/>
        </w:rPr>
        <w:t xml:space="preserve"> – избира се специалността (от падащо меню), според Наредба № 1 от 22 януари 2015 г. за придобиване на специалност в системата на здравеопазването по профила на която е издадено разрешението на звеното по т.1.3. </w:t>
      </w:r>
    </w:p>
    <w:p w:rsidR="00F23E0A" w:rsidRPr="00304CFC" w:rsidRDefault="00014794" w:rsidP="00151082">
      <w:pPr>
        <w:ind w:left="-15" w:right="0" w:firstLine="724"/>
        <w:rPr>
          <w:lang w:val="bg-BG"/>
        </w:rPr>
      </w:pPr>
      <w:r w:rsidRPr="00304CFC">
        <w:rPr>
          <w:b/>
          <w:lang w:val="bg-BG"/>
        </w:rPr>
        <w:t xml:space="preserve">1.5.Ниво </w:t>
      </w:r>
      <w:r w:rsidR="001272A0">
        <w:rPr>
          <w:b/>
          <w:lang w:val="bg-BG"/>
        </w:rPr>
        <w:t>-</w:t>
      </w:r>
      <w:r w:rsidRPr="00304CFC">
        <w:rPr>
          <w:lang w:val="bg-BG"/>
        </w:rPr>
        <w:t xml:space="preserve"> избира се нивото на компетентност </w:t>
      </w:r>
    </w:p>
    <w:p w:rsidR="00F23E0A" w:rsidRPr="00304CFC" w:rsidRDefault="00014794" w:rsidP="00151082">
      <w:pPr>
        <w:ind w:left="-15" w:right="0" w:firstLine="724"/>
        <w:rPr>
          <w:lang w:val="bg-BG"/>
        </w:rPr>
      </w:pPr>
      <w:r w:rsidRPr="00304CFC">
        <w:rPr>
          <w:lang w:val="bg-BG"/>
        </w:rPr>
        <w:t xml:space="preserve">Могат да се посочат до четири специалности със съответните нива на компетентност. </w:t>
      </w:r>
    </w:p>
    <w:p w:rsidR="00F23E0A" w:rsidRPr="00304CFC" w:rsidRDefault="00014794" w:rsidP="00151082">
      <w:pPr>
        <w:pStyle w:val="Heading2"/>
        <w:ind w:left="-15" w:right="0" w:firstLine="724"/>
        <w:rPr>
          <w:lang w:val="bg-BG"/>
        </w:rPr>
      </w:pPr>
      <w:r w:rsidRPr="00304CFC">
        <w:rPr>
          <w:lang w:val="bg-BG"/>
        </w:rPr>
        <w:lastRenderedPageBreak/>
        <w:t xml:space="preserve">II. За отделенията с легла в стационара - натурални показатели </w:t>
      </w:r>
    </w:p>
    <w:p w:rsidR="00572F27" w:rsidRDefault="00014794" w:rsidP="00151082">
      <w:pPr>
        <w:spacing w:after="46"/>
        <w:ind w:left="-15" w:right="0" w:firstLine="724"/>
        <w:rPr>
          <w:color w:val="auto"/>
          <w:lang w:val="bg-BG"/>
        </w:rPr>
      </w:pPr>
      <w:r w:rsidRPr="00304CFC">
        <w:rPr>
          <w:lang w:val="bg-BG"/>
        </w:rPr>
        <w:t xml:space="preserve">Попълват се стойности на предвидените натурални показатели само за звената с легла. Към </w:t>
      </w:r>
      <w:r w:rsidRPr="00053685">
        <w:rPr>
          <w:lang w:val="bg-BG"/>
        </w:rPr>
        <w:t xml:space="preserve">датата на отчета се посочва броят на разкритите легла, в т.ч. интензивни, посочва се средногодишния брой работещи легла в същия разрез, както и стойности по следните показатели </w:t>
      </w:r>
      <w:r w:rsidR="00493122">
        <w:rPr>
          <w:color w:val="auto"/>
          <w:lang w:val="bg-BG"/>
        </w:rPr>
        <w:t>-</w:t>
      </w:r>
      <w:r w:rsidRPr="00053685">
        <w:rPr>
          <w:color w:val="auto"/>
          <w:lang w:val="bg-BG"/>
        </w:rPr>
        <w:t xml:space="preserve"> </w:t>
      </w:r>
      <w:r w:rsidR="00A83A32">
        <w:rPr>
          <w:color w:val="auto"/>
          <w:lang w:val="bg-BG"/>
        </w:rPr>
        <w:t xml:space="preserve">брой легла, </w:t>
      </w:r>
      <w:r w:rsidRPr="00053685">
        <w:rPr>
          <w:color w:val="auto"/>
          <w:lang w:val="bg-BG"/>
        </w:rPr>
        <w:t xml:space="preserve">проведени </w:t>
      </w:r>
      <w:proofErr w:type="spellStart"/>
      <w:r w:rsidR="00A83A32" w:rsidRPr="00053685">
        <w:rPr>
          <w:color w:val="auto"/>
          <w:lang w:val="bg-BG"/>
        </w:rPr>
        <w:t>леглодни</w:t>
      </w:r>
      <w:proofErr w:type="spellEnd"/>
      <w:r w:rsidRPr="00053685">
        <w:rPr>
          <w:color w:val="auto"/>
          <w:lang w:val="bg-BG"/>
        </w:rPr>
        <w:t>, преминали болни,</w:t>
      </w:r>
      <w:r w:rsidR="00572F27" w:rsidRPr="00053685">
        <w:rPr>
          <w:color w:val="auto"/>
          <w:lang w:val="bg-BG"/>
        </w:rPr>
        <w:t xml:space="preserve"> преминали в друго отделение, и</w:t>
      </w:r>
      <w:r w:rsidRPr="00053685">
        <w:rPr>
          <w:color w:val="auto"/>
          <w:lang w:val="bg-BG"/>
        </w:rPr>
        <w:t>зписани болни и умрели.</w:t>
      </w:r>
      <w:r w:rsidRPr="00304CFC">
        <w:rPr>
          <w:color w:val="auto"/>
          <w:lang w:val="bg-BG"/>
        </w:rPr>
        <w:t xml:space="preserve"> </w:t>
      </w:r>
    </w:p>
    <w:p w:rsidR="00F23E0A" w:rsidRPr="00304CFC" w:rsidRDefault="00014794" w:rsidP="00151082">
      <w:pPr>
        <w:pStyle w:val="Heading2"/>
        <w:ind w:left="118" w:right="0" w:firstLine="591"/>
        <w:rPr>
          <w:lang w:val="bg-BG"/>
        </w:rPr>
      </w:pPr>
      <w:r w:rsidRPr="00304CFC">
        <w:rPr>
          <w:lang w:val="bg-BG"/>
        </w:rPr>
        <w:t xml:space="preserve">III. Отделения без легла, лаборатории, </w:t>
      </w:r>
      <w:r w:rsidR="00224205" w:rsidRPr="00224205">
        <w:rPr>
          <w:lang w:val="bg-BG"/>
        </w:rPr>
        <w:t>Диагностично-консултатив</w:t>
      </w:r>
      <w:r w:rsidR="00224205">
        <w:rPr>
          <w:lang w:val="bg-BG"/>
        </w:rPr>
        <w:t>ни</w:t>
      </w:r>
      <w:r w:rsidR="00224205" w:rsidRPr="00224205">
        <w:rPr>
          <w:lang w:val="bg-BG"/>
        </w:rPr>
        <w:t xml:space="preserve"> блок</w:t>
      </w:r>
      <w:r w:rsidR="00224205">
        <w:rPr>
          <w:lang w:val="bg-BG"/>
        </w:rPr>
        <w:t>ове</w:t>
      </w:r>
      <w:r w:rsidR="00224205" w:rsidRPr="00224205">
        <w:rPr>
          <w:lang w:val="bg-BG"/>
        </w:rPr>
        <w:t xml:space="preserve"> (ДКБ)</w:t>
      </w:r>
      <w:r w:rsidRPr="00224205">
        <w:rPr>
          <w:lang w:val="bg-BG"/>
        </w:rPr>
        <w:t xml:space="preserve"> </w:t>
      </w:r>
      <w:r w:rsidRPr="00304CFC">
        <w:rPr>
          <w:lang w:val="bg-BG"/>
        </w:rPr>
        <w:t xml:space="preserve">- натурални показатели </w:t>
      </w:r>
    </w:p>
    <w:p w:rsidR="00F23E0A" w:rsidRPr="00304CFC" w:rsidRDefault="00014794">
      <w:pPr>
        <w:spacing w:after="201"/>
        <w:ind w:left="-15" w:right="0"/>
        <w:rPr>
          <w:lang w:val="bg-BG"/>
        </w:rPr>
      </w:pPr>
      <w:r w:rsidRPr="00304CFC">
        <w:rPr>
          <w:lang w:val="bg-BG"/>
        </w:rPr>
        <w:t xml:space="preserve">Дейността на разкритите отделения без легла, лаборатории и ДКБ се описва по избрания за основен показател , като в графа “пояснение” се посочва самата дейност. В графа „Брой пациентски места“ показател характеризиращ възможния максимален брой едновременни процедури на различни пациенти (операционни зали, родилни легла, </w:t>
      </w:r>
      <w:proofErr w:type="spellStart"/>
      <w:r w:rsidRPr="00304CFC">
        <w:rPr>
          <w:lang w:val="bg-BG"/>
        </w:rPr>
        <w:t>ангиографски</w:t>
      </w:r>
      <w:proofErr w:type="spellEnd"/>
      <w:r w:rsidRPr="00304CFC">
        <w:rPr>
          <w:lang w:val="bg-BG"/>
        </w:rPr>
        <w:t xml:space="preserve"> апарати, линейни ускорители, кабинети и др.), когато това е приложимо (изкл. за лаборатории).</w:t>
      </w:r>
      <w:r w:rsidRPr="00304CFC">
        <w:rPr>
          <w:sz w:val="20"/>
          <w:lang w:val="bg-BG"/>
        </w:rPr>
        <w:t xml:space="preserve"> </w:t>
      </w:r>
    </w:p>
    <w:p w:rsidR="00F23E0A" w:rsidRPr="00304CFC" w:rsidRDefault="00014794" w:rsidP="00151082">
      <w:pPr>
        <w:pStyle w:val="Heading2"/>
        <w:ind w:left="118" w:right="0" w:firstLine="733"/>
        <w:rPr>
          <w:lang w:val="bg-BG"/>
        </w:rPr>
      </w:pPr>
      <w:r w:rsidRPr="00304CFC">
        <w:rPr>
          <w:lang w:val="bg-BG"/>
        </w:rPr>
        <w:t xml:space="preserve">IV. Отчет за клиничните изпитвания (КИ). Комисия по етика </w:t>
      </w:r>
    </w:p>
    <w:p w:rsidR="00F23E0A" w:rsidRPr="00304CFC" w:rsidRDefault="00014794">
      <w:pPr>
        <w:numPr>
          <w:ilvl w:val="0"/>
          <w:numId w:val="2"/>
        </w:numPr>
        <w:spacing w:after="50"/>
        <w:ind w:right="0" w:hanging="360"/>
        <w:rPr>
          <w:lang w:val="bg-BG"/>
        </w:rPr>
      </w:pPr>
      <w:r w:rsidRPr="00304CFC">
        <w:rPr>
          <w:lang w:val="bg-BG"/>
        </w:rPr>
        <w:t xml:space="preserve">Брой активни през периода изпитвания – посочва се общият брой на всички КИ, които са били активни през отчетния период на ниво звено. </w:t>
      </w:r>
    </w:p>
    <w:p w:rsidR="00F23E0A" w:rsidRPr="00304CFC" w:rsidRDefault="00014794">
      <w:pPr>
        <w:numPr>
          <w:ilvl w:val="0"/>
          <w:numId w:val="2"/>
        </w:numPr>
        <w:ind w:right="0" w:hanging="360"/>
        <w:rPr>
          <w:lang w:val="bg-BG"/>
        </w:rPr>
      </w:pPr>
      <w:r w:rsidRPr="00304CFC">
        <w:rPr>
          <w:lang w:val="bg-BG"/>
        </w:rPr>
        <w:t>Брой завършили пр</w:t>
      </w:r>
      <w:r w:rsidR="00877C74">
        <w:rPr>
          <w:lang w:val="bg-BG"/>
        </w:rPr>
        <w:t>е</w:t>
      </w:r>
      <w:r w:rsidRPr="00304CFC">
        <w:rPr>
          <w:lang w:val="bg-BG"/>
        </w:rPr>
        <w:t xml:space="preserve">з периода изпитвания </w:t>
      </w:r>
    </w:p>
    <w:p w:rsidR="00F23E0A" w:rsidRPr="00304CFC" w:rsidRDefault="00014794">
      <w:pPr>
        <w:numPr>
          <w:ilvl w:val="0"/>
          <w:numId w:val="2"/>
        </w:numPr>
        <w:spacing w:after="161"/>
        <w:ind w:right="0" w:hanging="360"/>
        <w:rPr>
          <w:lang w:val="bg-BG"/>
        </w:rPr>
      </w:pPr>
      <w:r w:rsidRPr="00304CFC">
        <w:rPr>
          <w:lang w:val="bg-BG"/>
        </w:rPr>
        <w:t xml:space="preserve">Брой преминали пациенти – само през отчетния период </w:t>
      </w:r>
    </w:p>
    <w:p w:rsidR="00F23E0A" w:rsidRPr="00304CFC" w:rsidRDefault="00014794" w:rsidP="00151082">
      <w:pPr>
        <w:pStyle w:val="Heading2"/>
        <w:ind w:left="118" w:right="0" w:firstLine="591"/>
        <w:rPr>
          <w:lang w:val="bg-BG"/>
        </w:rPr>
      </w:pPr>
      <w:r w:rsidRPr="00304CFC">
        <w:rPr>
          <w:lang w:val="bg-BG"/>
        </w:rPr>
        <w:t>V. Медицински персонал, натурални и стойностни показатели</w:t>
      </w:r>
      <w:r w:rsidR="00A83A32">
        <w:rPr>
          <w:lang w:val="bg-BG"/>
        </w:rPr>
        <w:t>.</w:t>
      </w:r>
      <w:r w:rsidRPr="00304CFC">
        <w:rPr>
          <w:lang w:val="bg-BG"/>
        </w:rPr>
        <w:t xml:space="preserve"> Трудови договори </w:t>
      </w:r>
    </w:p>
    <w:p w:rsidR="00F23E0A" w:rsidRPr="00224205" w:rsidRDefault="00014794" w:rsidP="00A83A32">
      <w:pPr>
        <w:spacing w:after="111" w:line="240" w:lineRule="auto"/>
        <w:ind w:left="-17" w:right="0" w:firstLine="839"/>
        <w:rPr>
          <w:lang w:val="bg-BG"/>
        </w:rPr>
      </w:pPr>
      <w:r w:rsidRPr="00304CFC">
        <w:rPr>
          <w:lang w:val="bg-BG"/>
        </w:rPr>
        <w:t>Посочват се натурални и стойностни показатели за медицинският персонал нает по трудови правоотношения</w:t>
      </w:r>
      <w:r w:rsidRPr="00224205">
        <w:rPr>
          <w:lang w:val="bg-BG"/>
        </w:rPr>
        <w:t xml:space="preserve">. Персоналът се диференцира в следните категории </w:t>
      </w:r>
      <w:r w:rsidR="00224205" w:rsidRPr="00224205">
        <w:rPr>
          <w:lang w:val="bg-BG"/>
        </w:rPr>
        <w:t>–</w:t>
      </w:r>
      <w:r w:rsidRPr="00224205">
        <w:rPr>
          <w:lang w:val="bg-BG"/>
        </w:rPr>
        <w:t xml:space="preserve"> </w:t>
      </w:r>
      <w:r w:rsidR="00224205" w:rsidRPr="00224205">
        <w:rPr>
          <w:lang w:val="bg-BG"/>
        </w:rPr>
        <w:t>лекари,</w:t>
      </w:r>
      <w:r w:rsidR="00224205" w:rsidRPr="00224205">
        <w:rPr>
          <w:lang w:val="bg-BG"/>
        </w:rPr>
        <w:tab/>
        <w:t xml:space="preserve">специалисти по здравни грижи, санитари и болногледачи </w:t>
      </w:r>
      <w:proofErr w:type="spellStart"/>
      <w:r w:rsidR="00224205" w:rsidRPr="00224205">
        <w:rPr>
          <w:lang w:val="bg-BG"/>
        </w:rPr>
        <w:t>идруги</w:t>
      </w:r>
      <w:proofErr w:type="spellEnd"/>
      <w:r w:rsidR="00224205" w:rsidRPr="00224205">
        <w:rPr>
          <w:lang w:val="bg-BG"/>
        </w:rPr>
        <w:t xml:space="preserve">. </w:t>
      </w:r>
      <w:r w:rsidRPr="00224205">
        <w:rPr>
          <w:lang w:val="bg-BG"/>
        </w:rPr>
        <w:t xml:space="preserve">Справката се попълва в следните направления: </w:t>
      </w:r>
    </w:p>
    <w:p w:rsidR="00F23E0A" w:rsidRPr="00224205" w:rsidRDefault="00577306">
      <w:pPr>
        <w:numPr>
          <w:ilvl w:val="0"/>
          <w:numId w:val="3"/>
        </w:numPr>
        <w:spacing w:after="38"/>
        <w:ind w:right="0" w:hanging="360"/>
        <w:rPr>
          <w:lang w:val="bg-BG"/>
        </w:rPr>
      </w:pPr>
      <w:proofErr w:type="spellStart"/>
      <w:r w:rsidRPr="00224205">
        <w:rPr>
          <w:lang w:val="bg-BG"/>
        </w:rPr>
        <w:t>Средно</w:t>
      </w:r>
      <w:r w:rsidR="00A83A32" w:rsidRPr="00224205">
        <w:rPr>
          <w:lang w:val="bg-BG"/>
        </w:rPr>
        <w:t>списъчен</w:t>
      </w:r>
      <w:proofErr w:type="spellEnd"/>
      <w:r w:rsidR="00014794" w:rsidRPr="00224205">
        <w:rPr>
          <w:lang w:val="bg-BG"/>
        </w:rPr>
        <w:t xml:space="preserve"> брой за отчетния период</w:t>
      </w:r>
      <w:r w:rsidR="00224205">
        <w:rPr>
          <w:lang w:val="bg-BG"/>
        </w:rPr>
        <w:t>;</w:t>
      </w:r>
      <w:r w:rsidR="00014794" w:rsidRPr="00224205">
        <w:rPr>
          <w:lang w:val="bg-BG"/>
        </w:rPr>
        <w:t xml:space="preserve"> </w:t>
      </w:r>
    </w:p>
    <w:p w:rsidR="00F23E0A" w:rsidRPr="00224205" w:rsidRDefault="00E27276">
      <w:pPr>
        <w:numPr>
          <w:ilvl w:val="0"/>
          <w:numId w:val="3"/>
        </w:numPr>
        <w:spacing w:after="195"/>
        <w:ind w:right="0" w:hanging="360"/>
        <w:rPr>
          <w:lang w:val="bg-BG"/>
        </w:rPr>
      </w:pPr>
      <w:r>
        <w:rPr>
          <w:lang w:val="bg-BG"/>
        </w:rPr>
        <w:t>Разходи за възнаграждения</w:t>
      </w:r>
    </w:p>
    <w:p w:rsidR="00F23E0A" w:rsidRPr="00304CFC" w:rsidRDefault="00014794">
      <w:pPr>
        <w:spacing w:after="191"/>
        <w:ind w:left="-15" w:right="0"/>
        <w:rPr>
          <w:lang w:val="bg-BG"/>
        </w:rPr>
      </w:pPr>
      <w:r w:rsidRPr="00304CFC">
        <w:rPr>
          <w:lang w:val="bg-BG"/>
        </w:rPr>
        <w:t xml:space="preserve">Данните по т.3 и 4 се извличат от наличните регистри (електронни графици), когато този процес не е технически обезпечен е допустимо тяхното изчисляване. Алгоритъмът, по който са изчислени, както и причините за невъзможност за предоставяне на първични данни следва да се упоменат в разясненията към отчета. </w:t>
      </w:r>
    </w:p>
    <w:p w:rsidR="00F23E0A" w:rsidRPr="00304CFC" w:rsidRDefault="00014794" w:rsidP="00151082">
      <w:pPr>
        <w:pStyle w:val="Heading2"/>
        <w:ind w:left="118" w:right="0" w:firstLine="875"/>
        <w:rPr>
          <w:lang w:val="bg-BG"/>
        </w:rPr>
      </w:pPr>
      <w:r w:rsidRPr="00304CFC">
        <w:rPr>
          <w:lang w:val="bg-BG"/>
        </w:rPr>
        <w:t xml:space="preserve">VI. Преки разходи </w:t>
      </w:r>
    </w:p>
    <w:p w:rsidR="00F23E0A" w:rsidRPr="00304CFC" w:rsidRDefault="00014794">
      <w:pPr>
        <w:ind w:left="-15" w:right="0"/>
        <w:rPr>
          <w:lang w:val="bg-BG"/>
        </w:rPr>
      </w:pPr>
      <w:r w:rsidRPr="00304CFC">
        <w:rPr>
          <w:lang w:val="bg-BG"/>
        </w:rPr>
        <w:t xml:space="preserve">Посочват се преките разходи (по елементи) на съответното звено, данните се извличат от аналитичната оборотна ведомост по звена и общата сума (за болницата) на всеки от тези показатели следва да отговаря на съответните редове от отчета за доходите. </w:t>
      </w:r>
    </w:p>
    <w:p w:rsidR="00F23E0A" w:rsidRPr="00304CFC" w:rsidRDefault="00014794" w:rsidP="00E27276">
      <w:pPr>
        <w:numPr>
          <w:ilvl w:val="0"/>
          <w:numId w:val="6"/>
        </w:numPr>
        <w:spacing w:after="0" w:line="240" w:lineRule="auto"/>
        <w:ind w:left="567" w:right="0" w:firstLine="1134"/>
        <w:rPr>
          <w:lang w:val="bg-BG"/>
        </w:rPr>
      </w:pPr>
      <w:r w:rsidRPr="00304CFC">
        <w:rPr>
          <w:lang w:val="bg-BG"/>
        </w:rPr>
        <w:t xml:space="preserve">Разходи за материали (като обща сума по звена) и диференцирано за лекарствени продукти, медицински изделия и храна за болни, когато е приложимо </w:t>
      </w:r>
    </w:p>
    <w:p w:rsidR="00E27276" w:rsidRDefault="00014794" w:rsidP="00E27276">
      <w:pPr>
        <w:numPr>
          <w:ilvl w:val="0"/>
          <w:numId w:val="6"/>
        </w:numPr>
        <w:spacing w:after="0" w:line="240" w:lineRule="auto"/>
        <w:ind w:left="567" w:right="0" w:firstLine="1134"/>
        <w:rPr>
          <w:lang w:val="bg-BG"/>
        </w:rPr>
      </w:pPr>
      <w:r w:rsidRPr="00304CFC">
        <w:rPr>
          <w:lang w:val="bg-BG"/>
        </w:rPr>
        <w:t>Разходи за външни услуги (като обща сума по звена)</w:t>
      </w:r>
    </w:p>
    <w:p w:rsidR="00E27276" w:rsidRDefault="00014794" w:rsidP="00255BB6">
      <w:pPr>
        <w:numPr>
          <w:ilvl w:val="0"/>
          <w:numId w:val="6"/>
        </w:numPr>
        <w:spacing w:after="0" w:line="240" w:lineRule="auto"/>
        <w:ind w:left="1701" w:right="0"/>
        <w:rPr>
          <w:lang w:val="bg-BG"/>
        </w:rPr>
      </w:pPr>
      <w:r w:rsidRPr="00E27276">
        <w:rPr>
          <w:lang w:val="bg-BG"/>
        </w:rPr>
        <w:t xml:space="preserve"> Разходи за персонала и диференцирано за </w:t>
      </w:r>
      <w:r w:rsidR="00255BB6">
        <w:rPr>
          <w:lang w:val="bg-BG"/>
        </w:rPr>
        <w:t xml:space="preserve">допълнително материално стимулиране, изплатено за сметка на приходи от обичайната дейност на </w:t>
      </w:r>
      <w:r w:rsidR="00255BB6">
        <w:rPr>
          <w:lang w:val="bg-BG"/>
        </w:rPr>
        <w:lastRenderedPageBreak/>
        <w:t>лечебното заведение</w:t>
      </w:r>
      <w:r w:rsidR="00E63415">
        <w:rPr>
          <w:lang w:val="bg-BG"/>
        </w:rPr>
        <w:t xml:space="preserve">, начислени средства за работещи в условия на заплаха от </w:t>
      </w:r>
      <w:r w:rsidR="00E63415">
        <w:t>COVID-19</w:t>
      </w:r>
      <w:r w:rsidR="00E63415">
        <w:rPr>
          <w:lang w:val="bg-BG"/>
        </w:rPr>
        <w:t xml:space="preserve"> (включват се начислените разходи, заплащани по чл. 15а от ЗМДВИПОРНС или по друг механизъм от държавата), както и стимули за персонала, ангажиран в борбата срещу </w:t>
      </w:r>
      <w:r w:rsidR="00E63415">
        <w:t>COVID-19 (</w:t>
      </w:r>
      <w:proofErr w:type="spellStart"/>
      <w:r w:rsidR="00E63415">
        <w:t>включват</w:t>
      </w:r>
      <w:proofErr w:type="spellEnd"/>
      <w:r w:rsidR="00E63415">
        <w:t xml:space="preserve"> </w:t>
      </w:r>
      <w:proofErr w:type="spellStart"/>
      <w:r w:rsidR="00E63415">
        <w:t>се</w:t>
      </w:r>
      <w:proofErr w:type="spellEnd"/>
      <w:r w:rsidR="00E63415">
        <w:t xml:space="preserve"> </w:t>
      </w:r>
      <w:r w:rsidR="00E63415">
        <w:rPr>
          <w:lang w:val="bg-BG"/>
        </w:rPr>
        <w:t xml:space="preserve">начислените </w:t>
      </w:r>
      <w:proofErr w:type="spellStart"/>
      <w:r w:rsidR="00E63415">
        <w:t>разходи</w:t>
      </w:r>
      <w:proofErr w:type="spellEnd"/>
      <w:r w:rsidR="00E63415">
        <w:t xml:space="preserve"> </w:t>
      </w:r>
      <w:proofErr w:type="spellStart"/>
      <w:r w:rsidR="00E63415">
        <w:t>заплащани</w:t>
      </w:r>
      <w:proofErr w:type="spellEnd"/>
      <w:r w:rsidR="00E63415">
        <w:t xml:space="preserve"> </w:t>
      </w:r>
      <w:proofErr w:type="spellStart"/>
      <w:r w:rsidR="00E63415">
        <w:t>по</w:t>
      </w:r>
      <w:proofErr w:type="spellEnd"/>
      <w:r w:rsidR="00E63415">
        <w:t xml:space="preserve"> </w:t>
      </w:r>
      <w:proofErr w:type="spellStart"/>
      <w:r w:rsidR="00E63415">
        <w:t>чл</w:t>
      </w:r>
      <w:proofErr w:type="spellEnd"/>
      <w:r w:rsidR="00E63415">
        <w:t xml:space="preserve">. 5 от </w:t>
      </w:r>
      <w:r w:rsidR="00E63415">
        <w:rPr>
          <w:lang w:val="bg-BG"/>
        </w:rPr>
        <w:t>ЗБНЗОК)</w:t>
      </w:r>
      <w:r w:rsidR="00E63415">
        <w:t>.</w:t>
      </w:r>
      <w:r w:rsidR="00255BB6">
        <w:rPr>
          <w:lang w:val="bg-BG"/>
        </w:rPr>
        <w:t xml:space="preserve"> </w:t>
      </w:r>
    </w:p>
    <w:p w:rsidR="00E27276" w:rsidRDefault="00E27276" w:rsidP="00E27276">
      <w:pPr>
        <w:numPr>
          <w:ilvl w:val="0"/>
          <w:numId w:val="6"/>
        </w:numPr>
        <w:spacing w:after="0" w:line="240" w:lineRule="auto"/>
        <w:ind w:left="567" w:right="0" w:firstLine="1134"/>
        <w:rPr>
          <w:lang w:val="bg-BG"/>
        </w:rPr>
      </w:pPr>
      <w:r w:rsidRPr="00E27276">
        <w:rPr>
          <w:lang w:val="bg-BG"/>
        </w:rPr>
        <w:t xml:space="preserve">Разходи за амортизация </w:t>
      </w:r>
    </w:p>
    <w:p w:rsidR="00F23E0A" w:rsidRDefault="00014794" w:rsidP="00E27276">
      <w:pPr>
        <w:numPr>
          <w:ilvl w:val="0"/>
          <w:numId w:val="6"/>
        </w:numPr>
        <w:spacing w:after="0" w:line="240" w:lineRule="auto"/>
        <w:ind w:left="567" w:right="0" w:firstLine="1134"/>
        <w:rPr>
          <w:lang w:val="bg-BG"/>
        </w:rPr>
      </w:pPr>
      <w:r w:rsidRPr="00E27276">
        <w:rPr>
          <w:lang w:val="bg-BG"/>
        </w:rPr>
        <w:t xml:space="preserve">Други разходи </w:t>
      </w:r>
    </w:p>
    <w:p w:rsidR="00E27276" w:rsidRPr="00E27276" w:rsidRDefault="00E27276" w:rsidP="00E27276">
      <w:pPr>
        <w:spacing w:after="0" w:line="240" w:lineRule="auto"/>
        <w:ind w:left="1701" w:right="0" w:firstLine="0"/>
        <w:rPr>
          <w:lang w:val="bg-BG"/>
        </w:rPr>
      </w:pPr>
    </w:p>
    <w:p w:rsidR="00F23E0A" w:rsidRPr="00304CFC" w:rsidRDefault="00014794" w:rsidP="00151082">
      <w:pPr>
        <w:pStyle w:val="Heading2"/>
        <w:ind w:left="118" w:right="0" w:firstLine="875"/>
        <w:rPr>
          <w:lang w:val="bg-BG"/>
        </w:rPr>
      </w:pPr>
      <w:r w:rsidRPr="00304CFC">
        <w:rPr>
          <w:lang w:val="bg-BG"/>
        </w:rPr>
        <w:t xml:space="preserve">VII. Приходи </w:t>
      </w:r>
    </w:p>
    <w:p w:rsidR="00F23E0A" w:rsidRPr="00304CFC" w:rsidRDefault="00014794">
      <w:pPr>
        <w:spacing w:after="193"/>
        <w:ind w:left="-15" w:right="0"/>
        <w:rPr>
          <w:lang w:val="bg-BG"/>
        </w:rPr>
      </w:pPr>
      <w:r w:rsidRPr="00304CFC">
        <w:rPr>
          <w:lang w:val="bg-BG"/>
        </w:rPr>
        <w:t xml:space="preserve">Посочват се приходите (по елементи) на съответното звено, данните се извличат от аналитичната оборотна ведомост по звена и общата сума (за болницата) на всеки от тези показатели следва да отговаря на съответните редове от отчета за доходите.  </w:t>
      </w:r>
    </w:p>
    <w:p w:rsidR="00F23E0A" w:rsidRPr="00304CFC" w:rsidRDefault="00014794">
      <w:pPr>
        <w:numPr>
          <w:ilvl w:val="0"/>
          <w:numId w:val="5"/>
        </w:numPr>
        <w:ind w:right="0" w:hanging="360"/>
        <w:rPr>
          <w:lang w:val="bg-BG"/>
        </w:rPr>
      </w:pPr>
      <w:r w:rsidRPr="00304CFC">
        <w:rPr>
          <w:lang w:val="bg-BG"/>
        </w:rPr>
        <w:t xml:space="preserve">Приходи от НЗОК – попълва се автоматично от Т15 в частта за КП, </w:t>
      </w:r>
      <w:proofErr w:type="spellStart"/>
      <w:r w:rsidRPr="00304CFC">
        <w:rPr>
          <w:lang w:val="bg-BG"/>
        </w:rPr>
        <w:t>КПр</w:t>
      </w:r>
      <w:proofErr w:type="spellEnd"/>
      <w:r w:rsidRPr="00304CFC">
        <w:rPr>
          <w:lang w:val="bg-BG"/>
        </w:rPr>
        <w:t xml:space="preserve">, </w:t>
      </w:r>
      <w:proofErr w:type="spellStart"/>
      <w:r w:rsidRPr="00304CFC">
        <w:rPr>
          <w:lang w:val="bg-BG"/>
        </w:rPr>
        <w:t>АПр</w:t>
      </w:r>
      <w:proofErr w:type="spellEnd"/>
      <w:r w:rsidRPr="00304CFC">
        <w:rPr>
          <w:lang w:val="bg-BG"/>
        </w:rPr>
        <w:t xml:space="preserve">, МИ и ЛП, нанасят се данни за приходите от </w:t>
      </w:r>
      <w:proofErr w:type="spellStart"/>
      <w:r w:rsidRPr="00304CFC">
        <w:rPr>
          <w:lang w:val="bg-BG"/>
        </w:rPr>
        <w:t>извънболнична</w:t>
      </w:r>
      <w:proofErr w:type="spellEnd"/>
      <w:r w:rsidRPr="00304CFC">
        <w:rPr>
          <w:lang w:val="bg-BG"/>
        </w:rPr>
        <w:t xml:space="preserve"> помощ. </w:t>
      </w:r>
    </w:p>
    <w:p w:rsidR="00F23E0A" w:rsidRPr="00304CFC" w:rsidRDefault="00014794">
      <w:pPr>
        <w:numPr>
          <w:ilvl w:val="0"/>
          <w:numId w:val="5"/>
        </w:numPr>
        <w:ind w:right="0" w:hanging="360"/>
        <w:rPr>
          <w:lang w:val="bg-BG"/>
        </w:rPr>
      </w:pPr>
      <w:r w:rsidRPr="00304CFC">
        <w:rPr>
          <w:lang w:val="bg-BG"/>
        </w:rPr>
        <w:t xml:space="preserve">Други приходи от продажби - Медицински, потребителски и др. такси, Медицински услуги по ценоразпис (граждани), Медицински услуги по договор с контрагенти , Доплащане от пациенти за медицински изделия и лекарства </w:t>
      </w:r>
    </w:p>
    <w:p w:rsidR="00F23E0A" w:rsidRPr="00304CFC" w:rsidRDefault="00014794">
      <w:pPr>
        <w:numPr>
          <w:ilvl w:val="0"/>
          <w:numId w:val="5"/>
        </w:numPr>
        <w:ind w:right="0" w:hanging="360"/>
        <w:rPr>
          <w:lang w:val="bg-BG"/>
        </w:rPr>
      </w:pPr>
      <w:r w:rsidRPr="00304CFC">
        <w:rPr>
          <w:lang w:val="bg-BG"/>
        </w:rPr>
        <w:t xml:space="preserve">Други приходи от дейността и диференцирано за Отчетени приходи от извършени клинични изпитвания </w:t>
      </w:r>
    </w:p>
    <w:p w:rsidR="00F23E0A" w:rsidRDefault="00014794" w:rsidP="00151082">
      <w:pPr>
        <w:numPr>
          <w:ilvl w:val="0"/>
          <w:numId w:val="5"/>
        </w:numPr>
        <w:spacing w:after="148"/>
        <w:ind w:right="0" w:hanging="360"/>
        <w:rPr>
          <w:lang w:val="bg-BG"/>
        </w:rPr>
      </w:pPr>
      <w:r w:rsidRPr="00304CFC">
        <w:rPr>
          <w:lang w:val="bg-BG"/>
        </w:rPr>
        <w:t xml:space="preserve">Приходи от финансиране </w:t>
      </w:r>
    </w:p>
    <w:p w:rsidR="00151082" w:rsidRPr="00151082" w:rsidRDefault="00151082" w:rsidP="00151082">
      <w:pPr>
        <w:spacing w:after="148"/>
        <w:ind w:left="2062" w:right="0" w:firstLine="0"/>
        <w:rPr>
          <w:lang w:val="bg-BG"/>
        </w:rPr>
      </w:pPr>
    </w:p>
    <w:p w:rsidR="00F23E0A" w:rsidRDefault="00AB193E" w:rsidP="008E620B">
      <w:pPr>
        <w:pStyle w:val="Heading2"/>
        <w:ind w:left="0" w:right="0" w:firstLine="837"/>
        <w:jc w:val="both"/>
        <w:rPr>
          <w:lang w:val="bg-BG"/>
        </w:rPr>
      </w:pPr>
      <w:r w:rsidRPr="00456B29">
        <w:rPr>
          <w:lang w:val="bg-BG"/>
        </w:rPr>
        <w:t xml:space="preserve">Т15 ДЕЙНОСТ ПО КП, АПР </w:t>
      </w:r>
      <w:r w:rsidR="00014794" w:rsidRPr="00456B29">
        <w:rPr>
          <w:lang w:val="bg-BG"/>
        </w:rPr>
        <w:t xml:space="preserve">И </w:t>
      </w:r>
      <w:r w:rsidR="00014794" w:rsidRPr="00456B29">
        <w:rPr>
          <w:lang w:val="bg-BG"/>
        </w:rPr>
        <w:tab/>
      </w:r>
      <w:r w:rsidRPr="00456B29">
        <w:rPr>
          <w:lang w:val="bg-BG"/>
        </w:rPr>
        <w:t xml:space="preserve">КПР С </w:t>
      </w:r>
      <w:r w:rsidR="00014794" w:rsidRPr="00456B29">
        <w:rPr>
          <w:lang w:val="bg-BG"/>
        </w:rPr>
        <w:t xml:space="preserve">МАПИРАНИ </w:t>
      </w:r>
      <w:r w:rsidR="00285215" w:rsidRPr="00456B29">
        <w:rPr>
          <w:lang w:val="bg-BG"/>
        </w:rPr>
        <w:t xml:space="preserve">КЪМ </w:t>
      </w:r>
      <w:r w:rsidR="00014794" w:rsidRPr="00456B29">
        <w:rPr>
          <w:lang w:val="bg-BG"/>
        </w:rPr>
        <w:t xml:space="preserve">НЕЯ ДОПЪЛНИТЕЛНО ЗАПЛАТЕНИ МЕДИЦИНСКИ ИЗДЕЛИЯ И ЛЕКАРСТВЕНИ ПРОДУКТИ ПО ДОГОВОРА С НЗОК ОТ ДАТА ДО ДАТА </w:t>
      </w:r>
    </w:p>
    <w:p w:rsidR="00F23E0A" w:rsidRPr="00A10496" w:rsidRDefault="00014794" w:rsidP="00A10496">
      <w:pPr>
        <w:ind w:left="-15" w:right="0"/>
        <w:rPr>
          <w:lang w:val="bg-BG"/>
        </w:rPr>
      </w:pPr>
      <w:r w:rsidRPr="00456B29">
        <w:rPr>
          <w:lang w:val="bg-BG"/>
        </w:rPr>
        <w:t xml:space="preserve">Таблицата поддържа номенклатура на Дейностите по НЗОК. По счетоводния код на всяко звено се описва обемът признат приход през съответния месец по конкретен вид дейност (N на КП, </w:t>
      </w:r>
      <w:proofErr w:type="spellStart"/>
      <w:r w:rsidRPr="00456B29">
        <w:rPr>
          <w:lang w:val="bg-BG"/>
        </w:rPr>
        <w:t>КПр</w:t>
      </w:r>
      <w:proofErr w:type="spellEnd"/>
      <w:r w:rsidRPr="00456B29">
        <w:rPr>
          <w:lang w:val="bg-BG"/>
        </w:rPr>
        <w:t xml:space="preserve"> и </w:t>
      </w:r>
      <w:proofErr w:type="spellStart"/>
      <w:r w:rsidRPr="00456B29">
        <w:rPr>
          <w:lang w:val="bg-BG"/>
        </w:rPr>
        <w:t>АПр</w:t>
      </w:r>
      <w:proofErr w:type="spellEnd"/>
      <w:r w:rsidRPr="00456B29">
        <w:rPr>
          <w:lang w:val="bg-BG"/>
        </w:rPr>
        <w:t xml:space="preserve"> ) с </w:t>
      </w:r>
      <w:proofErr w:type="spellStart"/>
      <w:r w:rsidRPr="00456B29">
        <w:rPr>
          <w:lang w:val="bg-BG"/>
        </w:rPr>
        <w:t>мапирани</w:t>
      </w:r>
      <w:proofErr w:type="spellEnd"/>
      <w:r w:rsidRPr="00456B29">
        <w:rPr>
          <w:lang w:val="bg-BG"/>
        </w:rPr>
        <w:t xml:space="preserve"> към нея приходи от </w:t>
      </w:r>
      <w:proofErr w:type="spellStart"/>
      <w:r w:rsidRPr="00456B29">
        <w:rPr>
          <w:lang w:val="bg-BG"/>
        </w:rPr>
        <w:t>реимбурс</w:t>
      </w:r>
      <w:r w:rsidR="00A83A32" w:rsidRPr="00456B29">
        <w:rPr>
          <w:lang w:val="bg-BG"/>
        </w:rPr>
        <w:t>иране</w:t>
      </w:r>
      <w:proofErr w:type="spellEnd"/>
      <w:r w:rsidR="00A83A32" w:rsidRPr="00456B29">
        <w:rPr>
          <w:lang w:val="bg-BG"/>
        </w:rPr>
        <w:t xml:space="preserve"> </w:t>
      </w:r>
      <w:r w:rsidRPr="00456B29">
        <w:rPr>
          <w:lang w:val="bg-BG"/>
        </w:rPr>
        <w:t>на МИ и ЛП, съобразно изискванията на НРД ил</w:t>
      </w:r>
      <w:r w:rsidR="009D2B08" w:rsidRPr="00456B29">
        <w:rPr>
          <w:lang w:val="bg-BG"/>
        </w:rPr>
        <w:t>и заместващия документ. Въведен</w:t>
      </w:r>
      <w:r w:rsidRPr="00A83A32">
        <w:rPr>
          <w:lang w:val="bg-BG"/>
        </w:rPr>
        <w:t xml:space="preserve"> е коригиращ код – КП АПр99, които се ползва за отразяване на разликата до пълната стойност на КП, която не е завършена</w:t>
      </w:r>
      <w:r w:rsidR="00572F27" w:rsidRPr="00A83A32">
        <w:rPr>
          <w:lang w:val="bg-BG"/>
        </w:rPr>
        <w:t xml:space="preserve"> или е с променена  </w:t>
      </w:r>
      <w:r w:rsidR="00572F27" w:rsidRPr="00A83A32">
        <w:rPr>
          <w:color w:val="auto"/>
          <w:lang w:val="bg-BG"/>
        </w:rPr>
        <w:t>цена</w:t>
      </w:r>
      <w:r w:rsidRPr="00A83A32">
        <w:rPr>
          <w:lang w:val="bg-BG"/>
        </w:rPr>
        <w:t>. Самата КП, се посочва като КП от съответния вид, по този код се отнася</w:t>
      </w:r>
      <w:r w:rsidR="00D4142A">
        <w:rPr>
          <w:lang w:val="bg-BG"/>
        </w:rPr>
        <w:t xml:space="preserve"> </w:t>
      </w:r>
      <w:r w:rsidRPr="00A83A32">
        <w:rPr>
          <w:lang w:val="bg-BG"/>
        </w:rPr>
        <w:t>единствено разлик</w:t>
      </w:r>
      <w:r w:rsidR="00D4142A">
        <w:rPr>
          <w:lang w:val="bg-BG"/>
        </w:rPr>
        <w:t>ата</w:t>
      </w:r>
      <w:r w:rsidRPr="00A83A32">
        <w:rPr>
          <w:lang w:val="bg-BG"/>
        </w:rPr>
        <w:t xml:space="preserve"> в платен</w:t>
      </w:r>
      <w:r w:rsidR="00D4142A">
        <w:rPr>
          <w:lang w:val="bg-BG"/>
        </w:rPr>
        <w:t>ата</w:t>
      </w:r>
      <w:r w:rsidRPr="00A83A32">
        <w:rPr>
          <w:lang w:val="bg-BG"/>
        </w:rPr>
        <w:t xml:space="preserve"> стойност</w:t>
      </w:r>
      <w:r w:rsidR="00D4142A">
        <w:rPr>
          <w:lang w:val="bg-BG"/>
        </w:rPr>
        <w:t xml:space="preserve"> </w:t>
      </w:r>
      <w:r w:rsidRPr="00A83A32">
        <w:rPr>
          <w:lang w:val="bg-BG"/>
        </w:rPr>
        <w:t xml:space="preserve">с отрицателен </w:t>
      </w:r>
      <w:r w:rsidR="00572F27" w:rsidRPr="00A83A32">
        <w:rPr>
          <w:lang w:val="bg-BG"/>
        </w:rPr>
        <w:t xml:space="preserve">или положителен </w:t>
      </w:r>
      <w:r w:rsidRPr="00A83A32">
        <w:rPr>
          <w:lang w:val="bg-BG"/>
        </w:rPr>
        <w:t xml:space="preserve">знак. Единичната цена е 1 лв. Не се посочват </w:t>
      </w:r>
      <w:proofErr w:type="spellStart"/>
      <w:r w:rsidRPr="00A83A32">
        <w:rPr>
          <w:lang w:val="bg-BG"/>
        </w:rPr>
        <w:t>леглодни</w:t>
      </w:r>
      <w:proofErr w:type="spellEnd"/>
      <w:r w:rsidRPr="00A83A32">
        <w:rPr>
          <w:lang w:val="bg-BG"/>
        </w:rPr>
        <w:t>, а самата незавършена КП се отразява, като завършена. Данните от тази таблица автоматично се прехвърлят в Т02 и Т14 (съобразно въведения счетоводен код). Когато кодовете на звената не са еднозначни на</w:t>
      </w:r>
      <w:r w:rsidRPr="00304CFC">
        <w:rPr>
          <w:lang w:val="bg-BG"/>
        </w:rPr>
        <w:t xml:space="preserve"> кодовете в Т14 общата сума в двете таблици няма да съвпадне и ще се изпише съобщение за грешка в Т14. Извършената амбулаторна дейност извън </w:t>
      </w:r>
      <w:proofErr w:type="spellStart"/>
      <w:r w:rsidRPr="00304CFC">
        <w:rPr>
          <w:lang w:val="bg-BG"/>
        </w:rPr>
        <w:t>АПр</w:t>
      </w:r>
      <w:proofErr w:type="spellEnd"/>
      <w:r w:rsidRPr="00304CFC">
        <w:rPr>
          <w:lang w:val="bg-BG"/>
        </w:rPr>
        <w:t>, вкл. диспансерно наблюдение, не се посочва в Т15, а само в Т14 в колона „Приходи от НЗОК/</w:t>
      </w:r>
      <w:r w:rsidR="00A83A32">
        <w:rPr>
          <w:lang w:val="bg-BG"/>
        </w:rPr>
        <w:t xml:space="preserve"> </w:t>
      </w:r>
      <w:proofErr w:type="spellStart"/>
      <w:r w:rsidRPr="00304CFC">
        <w:rPr>
          <w:lang w:val="bg-BG"/>
        </w:rPr>
        <w:t>Извънболнична</w:t>
      </w:r>
      <w:proofErr w:type="spellEnd"/>
      <w:r w:rsidRPr="00304CFC">
        <w:rPr>
          <w:lang w:val="bg-BG"/>
        </w:rPr>
        <w:t xml:space="preserve"> помощ“ диференцирано по звена. </w:t>
      </w:r>
      <w:r w:rsidR="00A10496">
        <w:rPr>
          <w:lang w:val="bg-BG"/>
        </w:rPr>
        <w:t xml:space="preserve">Дейностите за периода от 01.01.2022 г. до 30.04.2022 г. се отчитат по кодовете отбелязани с </w:t>
      </w:r>
      <w:r w:rsidR="00A10496">
        <w:t>“A”</w:t>
      </w:r>
      <w:r w:rsidR="00A10496">
        <w:rPr>
          <w:lang w:val="bg-BG"/>
        </w:rPr>
        <w:t xml:space="preserve">, например </w:t>
      </w:r>
      <w:r w:rsidR="00A10496">
        <w:t>“A2022</w:t>
      </w:r>
      <w:r w:rsidR="00A10496">
        <w:rPr>
          <w:lang w:val="bg-BG"/>
        </w:rPr>
        <w:t>КП001</w:t>
      </w:r>
      <w:r w:rsidR="00A10496">
        <w:t xml:space="preserve">”. </w:t>
      </w:r>
      <w:r w:rsidR="00A10496">
        <w:rPr>
          <w:lang w:val="bg-BG"/>
        </w:rPr>
        <w:t xml:space="preserve">Дейностите за периода от 01.05.2022 г. до 31.12.2022 г. се отчитат по кодовете отбелязани с </w:t>
      </w:r>
      <w:r w:rsidR="00A10496">
        <w:t>“B”</w:t>
      </w:r>
      <w:r w:rsidR="00A10496">
        <w:rPr>
          <w:lang w:val="bg-BG"/>
        </w:rPr>
        <w:t xml:space="preserve">, например </w:t>
      </w:r>
      <w:r w:rsidR="00A10496">
        <w:t>“B2022</w:t>
      </w:r>
      <w:r w:rsidR="00A10496">
        <w:rPr>
          <w:lang w:val="bg-BG"/>
        </w:rPr>
        <w:t>КП001</w:t>
      </w:r>
      <w:r w:rsidR="00A10496">
        <w:t xml:space="preserve">”. </w:t>
      </w:r>
      <w:r w:rsidR="00A10496">
        <w:rPr>
          <w:lang w:val="bg-BG"/>
        </w:rPr>
        <w:t xml:space="preserve">Дейностите </w:t>
      </w:r>
      <w:r w:rsidR="00D96307">
        <w:rPr>
          <w:lang w:val="bg-BG"/>
        </w:rPr>
        <w:t xml:space="preserve">за периода от </w:t>
      </w:r>
      <w:r w:rsidR="00D96307">
        <w:rPr>
          <w:lang w:val="bg-BG"/>
        </w:rPr>
        <w:lastRenderedPageBreak/>
        <w:t xml:space="preserve">01.05.2022 г. до 31.12.2022 г., </w:t>
      </w:r>
      <w:r w:rsidR="00A10496">
        <w:rPr>
          <w:lang w:val="bg-BG"/>
        </w:rPr>
        <w:t>заплащани по цени по чл. 368а, ал. 9 от НРД</w:t>
      </w:r>
      <w:r w:rsidR="00D96307">
        <w:rPr>
          <w:lang w:val="bg-BG"/>
        </w:rPr>
        <w:t>,</w:t>
      </w:r>
      <w:r w:rsidR="00A10496">
        <w:rPr>
          <w:lang w:val="bg-BG"/>
        </w:rPr>
        <w:t xml:space="preserve"> се отчитат по кодовете отбелязани с </w:t>
      </w:r>
      <w:r w:rsidR="00A10496">
        <w:t>“C”</w:t>
      </w:r>
      <w:r w:rsidR="00A10496">
        <w:rPr>
          <w:lang w:val="bg-BG"/>
        </w:rPr>
        <w:t xml:space="preserve">, например </w:t>
      </w:r>
      <w:r w:rsidR="00A10496">
        <w:t>“C2022</w:t>
      </w:r>
      <w:r w:rsidR="00A10496">
        <w:rPr>
          <w:lang w:val="bg-BG"/>
        </w:rPr>
        <w:t>КП001</w:t>
      </w:r>
      <w:r w:rsidR="00A10496">
        <w:t>”.</w:t>
      </w:r>
    </w:p>
    <w:p w:rsidR="00151082" w:rsidRDefault="00151082" w:rsidP="00285215">
      <w:pPr>
        <w:spacing w:after="0" w:line="240" w:lineRule="auto"/>
        <w:ind w:right="0" w:firstLine="0"/>
        <w:rPr>
          <w:b/>
          <w:bCs/>
          <w:color w:val="FFFFFF"/>
          <w:sz w:val="16"/>
          <w:szCs w:val="16"/>
        </w:rPr>
      </w:pPr>
    </w:p>
    <w:p w:rsidR="00285215" w:rsidRPr="00285215" w:rsidRDefault="00285215" w:rsidP="00285215">
      <w:pPr>
        <w:spacing w:after="0" w:line="240" w:lineRule="auto"/>
        <w:ind w:right="0" w:firstLine="0"/>
        <w:rPr>
          <w:b/>
          <w:bCs/>
          <w:color w:val="FFFFFF"/>
          <w:sz w:val="16"/>
          <w:szCs w:val="16"/>
        </w:rPr>
      </w:pPr>
      <w:r w:rsidRPr="00285215">
        <w:rPr>
          <w:b/>
          <w:bCs/>
          <w:color w:val="FFFFFF"/>
          <w:sz w:val="16"/>
          <w:szCs w:val="16"/>
        </w:rPr>
        <w:t xml:space="preserve">Т17 ПОЯСНЕНИЯ ПО ПОЛЕТА 'ДРУГИ' ОТ ОТЧЕТ ЗА “УНИВЕРСИТЕТСКА МНОГОПРОФИЛНА БОЛНИЦА ЗА АКТИВНО </w:t>
      </w:r>
    </w:p>
    <w:p w:rsidR="006644D8" w:rsidRPr="006644D8" w:rsidRDefault="006644D8" w:rsidP="006644D8">
      <w:pPr>
        <w:pStyle w:val="Heading2"/>
        <w:ind w:left="0" w:right="0" w:firstLine="837"/>
        <w:jc w:val="both"/>
        <w:rPr>
          <w:lang w:val="bg-BG"/>
        </w:rPr>
      </w:pPr>
      <w:r>
        <w:rPr>
          <w:lang w:val="bg-BG"/>
        </w:rPr>
        <w:t>Т16</w:t>
      </w:r>
      <w:r w:rsidRPr="00456B29">
        <w:rPr>
          <w:lang w:val="bg-BG"/>
        </w:rPr>
        <w:t xml:space="preserve"> </w:t>
      </w:r>
      <w:r w:rsidRPr="006644D8">
        <w:rPr>
          <w:lang w:val="bg-BG"/>
        </w:rPr>
        <w:t>РЕКАПИТУЛАЦИЯ ПО ДОГОВОРИТЕ ЗА ЗАКУПУВАНЕ НА НЕТЕКУЩИ АКТИВИ С МЗ, НЕПРИКЛЮЧИЛИ С ВДИГАНЕ НА КАПИТАЛА</w:t>
      </w:r>
      <w:r>
        <w:t xml:space="preserve"> </w:t>
      </w:r>
      <w:r>
        <w:rPr>
          <w:lang w:val="bg-BG"/>
        </w:rPr>
        <w:t xml:space="preserve">и </w:t>
      </w:r>
      <w:r w:rsidRPr="006644D8">
        <w:rPr>
          <w:lang w:val="bg-BG"/>
        </w:rPr>
        <w:t>ОПИС НА ДОГОВОРИТЕ ЗА ЗАКУПУВАНЕ НА НЕТЕКУЩИ АКТИВИ С МЗ, НЕПРИКЛЮЧИЛИ С ВДИГАНЕ НА КАПИТАЛА</w:t>
      </w:r>
    </w:p>
    <w:p w:rsidR="006644D8" w:rsidRDefault="006644D8" w:rsidP="006644D8">
      <w:pPr>
        <w:rPr>
          <w:lang w:val="bg-BG"/>
        </w:rPr>
      </w:pPr>
    </w:p>
    <w:p w:rsidR="006644D8" w:rsidRPr="006644D8" w:rsidRDefault="006644D8" w:rsidP="006644D8">
      <w:pPr>
        <w:rPr>
          <w:lang w:val="bg-BG"/>
        </w:rPr>
      </w:pPr>
      <w:r w:rsidRPr="006644D8">
        <w:rPr>
          <w:lang w:val="bg-BG"/>
        </w:rPr>
        <w:t>В таблица 16 се попълва информация за текущото състояние към съответното тримесечие за усвояването на отпуснатите целеви средства за капиталови разходи на държавните лечебни заведения – търговски дружества, които не са приключили с увеличаване на капитала със стойността на усвоените средства за капиталови разходи.</w:t>
      </w:r>
    </w:p>
    <w:p w:rsidR="006644D8" w:rsidRPr="006644D8" w:rsidRDefault="006644D8" w:rsidP="006644D8">
      <w:pPr>
        <w:rPr>
          <w:lang w:val="bg-BG"/>
        </w:rPr>
      </w:pPr>
      <w:r w:rsidRPr="006644D8">
        <w:rPr>
          <w:lang w:val="bg-BG"/>
        </w:rPr>
        <w:t xml:space="preserve">В таблицата са попълват  данни за сключените с Министерство на здравеопазването договори за целеви средства за капиталови разходи, съдържащи: </w:t>
      </w:r>
    </w:p>
    <w:p w:rsidR="006644D8" w:rsidRPr="006644D8" w:rsidRDefault="006644D8" w:rsidP="006644D8">
      <w:pPr>
        <w:rPr>
          <w:lang w:val="bg-BG"/>
        </w:rPr>
      </w:pPr>
      <w:r w:rsidRPr="006644D8">
        <w:rPr>
          <w:lang w:val="bg-BG"/>
        </w:rPr>
        <w:tab/>
        <w:t>Първата част от таблицата - опис на сключените договори с МЗ:</w:t>
      </w:r>
    </w:p>
    <w:p w:rsidR="006644D8" w:rsidRPr="006644D8" w:rsidRDefault="006644D8" w:rsidP="006644D8">
      <w:pPr>
        <w:rPr>
          <w:lang w:val="bg-BG"/>
        </w:rPr>
      </w:pPr>
      <w:r w:rsidRPr="006644D8">
        <w:rPr>
          <w:lang w:val="bg-BG"/>
        </w:rPr>
        <w:t>-</w:t>
      </w:r>
      <w:r w:rsidRPr="006644D8">
        <w:rPr>
          <w:lang w:val="bg-BG"/>
        </w:rPr>
        <w:tab/>
        <w:t>№ и дата на сключения договор, крайния срок на договора, броят на позициите по които се предвижда сключването на отделни договори с изпълнители;</w:t>
      </w:r>
    </w:p>
    <w:p w:rsidR="006644D8" w:rsidRPr="006644D8" w:rsidRDefault="006644D8" w:rsidP="006644D8">
      <w:pPr>
        <w:rPr>
          <w:lang w:val="bg-BG"/>
        </w:rPr>
      </w:pPr>
      <w:r w:rsidRPr="006644D8">
        <w:rPr>
          <w:lang w:val="bg-BG"/>
        </w:rPr>
        <w:t>-</w:t>
      </w:r>
      <w:r w:rsidRPr="006644D8">
        <w:rPr>
          <w:lang w:val="bg-BG"/>
        </w:rPr>
        <w:tab/>
        <w:t>Предмет на договора, общата стойност на договора, стойността на преведените средства на лечебното заведение от Министерство на здравеопазването, стойността на възстановените средства след приключване на договора;</w:t>
      </w:r>
    </w:p>
    <w:p w:rsidR="006644D8" w:rsidRPr="006644D8" w:rsidRDefault="006644D8" w:rsidP="006644D8">
      <w:pPr>
        <w:rPr>
          <w:lang w:val="bg-BG"/>
        </w:rPr>
      </w:pPr>
      <w:r w:rsidRPr="006644D8">
        <w:rPr>
          <w:lang w:val="bg-BG"/>
        </w:rPr>
        <w:t>-</w:t>
      </w:r>
      <w:r w:rsidRPr="006644D8">
        <w:rPr>
          <w:lang w:val="bg-BG"/>
        </w:rPr>
        <w:tab/>
        <w:t>Информация за статуса и етапа на изпълнение на договора, стойността на сключените договори по проведените обществени поръчки, дължимата и заплатената сума по сключените договори с изпълнители.</w:t>
      </w:r>
    </w:p>
    <w:p w:rsidR="006644D8" w:rsidRPr="006644D8" w:rsidRDefault="006644D8" w:rsidP="006644D8">
      <w:pPr>
        <w:rPr>
          <w:lang w:val="bg-BG"/>
        </w:rPr>
      </w:pPr>
      <w:r w:rsidRPr="006644D8">
        <w:rPr>
          <w:lang w:val="bg-BG"/>
        </w:rPr>
        <w:t>-</w:t>
      </w:r>
      <w:r w:rsidRPr="006644D8">
        <w:rPr>
          <w:lang w:val="bg-BG"/>
        </w:rPr>
        <w:tab/>
        <w:t>Стойността на средствата, с които следва да се увеличи капитала на лечебното заведение.</w:t>
      </w:r>
    </w:p>
    <w:p w:rsidR="006644D8" w:rsidRPr="006644D8" w:rsidRDefault="006644D8" w:rsidP="006644D8">
      <w:pPr>
        <w:rPr>
          <w:lang w:val="bg-BG"/>
        </w:rPr>
      </w:pPr>
      <w:r w:rsidRPr="006644D8">
        <w:rPr>
          <w:lang w:val="bg-BG"/>
        </w:rPr>
        <w:t>Втората част от таблицата – опис на сключените договори с изпълнители от лечебното заведение:</w:t>
      </w:r>
    </w:p>
    <w:p w:rsidR="006644D8" w:rsidRPr="006644D8" w:rsidRDefault="006644D8" w:rsidP="006644D8">
      <w:pPr>
        <w:rPr>
          <w:lang w:val="bg-BG"/>
        </w:rPr>
      </w:pPr>
      <w:r w:rsidRPr="006644D8">
        <w:rPr>
          <w:lang w:val="bg-BG"/>
        </w:rPr>
        <w:t>-</w:t>
      </w:r>
      <w:r w:rsidRPr="006644D8">
        <w:rPr>
          <w:lang w:val="bg-BG"/>
        </w:rPr>
        <w:tab/>
        <w:t>№ на сключения с МЗ договор, № на позициите по които се предвижда да се сключи или е сключен на договор, съкратена информация за какво се отнася позицията (кратко описание), етапа на изпълнение на обществената поръчка;</w:t>
      </w:r>
    </w:p>
    <w:p w:rsidR="006644D8" w:rsidRPr="006644D8" w:rsidRDefault="006644D8" w:rsidP="006644D8">
      <w:pPr>
        <w:rPr>
          <w:lang w:val="bg-BG"/>
        </w:rPr>
      </w:pPr>
      <w:r w:rsidRPr="006644D8">
        <w:rPr>
          <w:lang w:val="bg-BG"/>
        </w:rPr>
        <w:t>-</w:t>
      </w:r>
      <w:r w:rsidRPr="006644D8">
        <w:rPr>
          <w:lang w:val="bg-BG"/>
        </w:rPr>
        <w:tab/>
        <w:t>данни за сключения договор с изпълнител, ЕИК, Наименование на фирмата, предмета на договора, № и дата на договора, стойност на договора, дължима сума и заплатена сума.</w:t>
      </w:r>
    </w:p>
    <w:p w:rsidR="006644D8" w:rsidRDefault="006644D8" w:rsidP="00285215">
      <w:pPr>
        <w:pStyle w:val="Heading2"/>
        <w:ind w:left="0" w:right="0" w:firstLine="837"/>
        <w:jc w:val="both"/>
        <w:rPr>
          <w:lang w:val="bg-BG"/>
        </w:rPr>
      </w:pPr>
    </w:p>
    <w:p w:rsidR="007D5D47" w:rsidRDefault="00285215" w:rsidP="00285215">
      <w:pPr>
        <w:pStyle w:val="Heading2"/>
        <w:ind w:left="0" w:right="0" w:firstLine="837"/>
        <w:jc w:val="both"/>
        <w:rPr>
          <w:lang w:val="bg-BG"/>
        </w:rPr>
      </w:pPr>
      <w:r w:rsidRPr="00285215">
        <w:rPr>
          <w:lang w:val="bg-BG"/>
        </w:rPr>
        <w:t>Т17 ПОЯСН</w:t>
      </w:r>
      <w:r w:rsidR="007D5D47">
        <w:rPr>
          <w:lang w:val="bg-BG"/>
        </w:rPr>
        <w:t xml:space="preserve">ЕНИЯ ПО ПОЛЕТА 'ДРУГИ' ОТ ОТЧЕТА </w:t>
      </w:r>
    </w:p>
    <w:p w:rsidR="009967A1" w:rsidRPr="007C7530" w:rsidRDefault="004A69D2" w:rsidP="00285215">
      <w:pPr>
        <w:pStyle w:val="Heading2"/>
        <w:ind w:left="0" w:right="0" w:firstLine="837"/>
        <w:jc w:val="both"/>
        <w:rPr>
          <w:b w:val="0"/>
          <w:color w:val="auto"/>
          <w:lang w:val="bg-BG"/>
        </w:rPr>
      </w:pPr>
      <w:r w:rsidRPr="001733F1">
        <w:rPr>
          <w:b w:val="0"/>
          <w:lang w:val="bg-BG"/>
        </w:rPr>
        <w:t xml:space="preserve">В случай, че има попълнени стойности </w:t>
      </w:r>
      <w:r w:rsidR="001733F1" w:rsidRPr="001733F1">
        <w:rPr>
          <w:b w:val="0"/>
          <w:lang w:val="bg-BG"/>
        </w:rPr>
        <w:t xml:space="preserve">в Т01: Други доходи от дейността (Други);  Т01: Разходи за външни услуги (Други) Т01 Други разходи (Други) и Т02 Търговски и други вземания (други вземания) </w:t>
      </w:r>
      <w:r w:rsidRPr="001733F1">
        <w:rPr>
          <w:b w:val="0"/>
          <w:lang w:val="bg-BG"/>
        </w:rPr>
        <w:t xml:space="preserve">в таблица </w:t>
      </w:r>
      <w:r w:rsidR="001733F1" w:rsidRPr="001733F1">
        <w:rPr>
          <w:b w:val="0"/>
          <w:lang w:val="bg-BG"/>
        </w:rPr>
        <w:t xml:space="preserve">17 задължително </w:t>
      </w:r>
      <w:r w:rsidRPr="001733F1">
        <w:rPr>
          <w:b w:val="0"/>
          <w:lang w:val="bg-BG"/>
        </w:rPr>
        <w:t xml:space="preserve">се попълва </w:t>
      </w:r>
      <w:proofErr w:type="spellStart"/>
      <w:r w:rsidR="001733F1" w:rsidRPr="001733F1">
        <w:rPr>
          <w:b w:val="0"/>
          <w:lang w:val="bg-BG"/>
        </w:rPr>
        <w:t>разшифровка</w:t>
      </w:r>
      <w:proofErr w:type="spellEnd"/>
      <w:r w:rsidR="001733F1" w:rsidRPr="001733F1">
        <w:rPr>
          <w:b w:val="0"/>
          <w:lang w:val="bg-BG"/>
        </w:rPr>
        <w:t xml:space="preserve"> </w:t>
      </w:r>
      <w:r w:rsidRPr="001733F1">
        <w:rPr>
          <w:b w:val="0"/>
          <w:lang w:val="bg-BG"/>
        </w:rPr>
        <w:t>на</w:t>
      </w:r>
      <w:r w:rsidR="001733F1" w:rsidRPr="001733F1">
        <w:rPr>
          <w:b w:val="0"/>
          <w:lang w:val="bg-BG"/>
        </w:rPr>
        <w:t xml:space="preserve"> попълнените </w:t>
      </w:r>
      <w:r w:rsidR="001733F1">
        <w:rPr>
          <w:b w:val="0"/>
          <w:lang w:val="bg-BG"/>
        </w:rPr>
        <w:t>стойности</w:t>
      </w:r>
      <w:r w:rsidR="001733F1" w:rsidRPr="001733F1">
        <w:rPr>
          <w:b w:val="0"/>
          <w:lang w:val="bg-BG"/>
        </w:rPr>
        <w:t>.</w:t>
      </w:r>
      <w:r w:rsidR="001733F1">
        <w:rPr>
          <w:b w:val="0"/>
          <w:lang w:val="bg-BG"/>
        </w:rPr>
        <w:t xml:space="preserve"> </w:t>
      </w:r>
      <w:r w:rsidR="00957EDA" w:rsidRPr="007C7530">
        <w:rPr>
          <w:b w:val="0"/>
          <w:color w:val="auto"/>
          <w:lang w:val="bg-BG"/>
        </w:rPr>
        <w:t xml:space="preserve">Сумите се посочват на отделни редове с пояснение, а не обща сума и подробна </w:t>
      </w:r>
      <w:proofErr w:type="spellStart"/>
      <w:r w:rsidR="00957EDA" w:rsidRPr="007C7530">
        <w:rPr>
          <w:b w:val="0"/>
          <w:color w:val="auto"/>
          <w:lang w:val="bg-BG"/>
        </w:rPr>
        <w:t>разшифровка</w:t>
      </w:r>
      <w:proofErr w:type="spellEnd"/>
      <w:r w:rsidR="00957EDA" w:rsidRPr="007C7530">
        <w:rPr>
          <w:b w:val="0"/>
          <w:color w:val="auto"/>
          <w:lang w:val="bg-BG"/>
        </w:rPr>
        <w:t xml:space="preserve"> в поле пояснение.</w:t>
      </w:r>
    </w:p>
    <w:p w:rsidR="009967A1" w:rsidRPr="007C7530" w:rsidRDefault="009967A1" w:rsidP="006644D8">
      <w:pPr>
        <w:rPr>
          <w:color w:val="auto"/>
          <w:lang w:val="bg-BG"/>
        </w:rPr>
      </w:pPr>
    </w:p>
    <w:p w:rsidR="009967A1" w:rsidRDefault="009967A1" w:rsidP="009967A1">
      <w:pPr>
        <w:pStyle w:val="Heading2"/>
        <w:ind w:left="0" w:right="0" w:firstLine="851"/>
        <w:rPr>
          <w:lang w:val="bg-BG"/>
        </w:rPr>
      </w:pPr>
      <w:r>
        <w:rPr>
          <w:lang w:val="bg-BG"/>
        </w:rPr>
        <w:lastRenderedPageBreak/>
        <w:t>Т18</w:t>
      </w:r>
      <w:r w:rsidRPr="00A62E30">
        <w:rPr>
          <w:lang w:val="bg-BG"/>
        </w:rPr>
        <w:t xml:space="preserve"> СПРАВКА ПО </w:t>
      </w:r>
      <w:r>
        <w:rPr>
          <w:lang w:val="bg-BG"/>
        </w:rPr>
        <w:t xml:space="preserve">ДОГОВОРИ ЗА ЕНЕРГИЯ </w:t>
      </w:r>
      <w:r w:rsidRPr="00A62E30">
        <w:rPr>
          <w:lang w:val="bg-BG"/>
        </w:rPr>
        <w:t xml:space="preserve">ПРЕЗ ПЕРИОДА ОТ ДАТА ДО ДАТА </w:t>
      </w:r>
    </w:p>
    <w:p w:rsidR="009967A1" w:rsidRPr="00A10496" w:rsidRDefault="009967A1" w:rsidP="009967A1">
      <w:pPr>
        <w:ind w:left="-15" w:right="0"/>
        <w:rPr>
          <w:lang w:val="bg-BG"/>
        </w:rPr>
      </w:pPr>
      <w:r w:rsidRPr="00A62E30">
        <w:rPr>
          <w:lang w:val="bg-BG"/>
        </w:rPr>
        <w:t xml:space="preserve">Попълването изисква посочване на </w:t>
      </w:r>
      <w:r>
        <w:rPr>
          <w:lang w:val="bg-BG"/>
        </w:rPr>
        <w:t>всеки договор, диференцирано ЕИК</w:t>
      </w:r>
      <w:r w:rsidRPr="00A62E30">
        <w:rPr>
          <w:lang w:val="bg-BG"/>
        </w:rPr>
        <w:t xml:space="preserve">. </w:t>
      </w:r>
      <w:r w:rsidRPr="00304CFC">
        <w:rPr>
          <w:lang w:val="bg-BG"/>
        </w:rPr>
        <w:t xml:space="preserve">Извършва се логическа проверка на коректността на идентификатора. </w:t>
      </w:r>
      <w:r w:rsidR="001E1F98">
        <w:rPr>
          <w:lang w:val="bg-BG"/>
        </w:rPr>
        <w:t xml:space="preserve">В случай, че в една фактура има задължения за повече от един енергиен източник, същата следва да се разбие в два или повече реда, като начислените суми и консумираната енергийна стойност се отразят коректно за всеки от енергийните източници включени във фактурата. В колони „Начало на отчетния период“, „Край на отчетния период“ и „Краен срок за плащане на фактурата“ се попълват дати във формат </w:t>
      </w:r>
      <w:proofErr w:type="spellStart"/>
      <w:r w:rsidR="001E1F98">
        <w:t>dd.mm.yyyy</w:t>
      </w:r>
      <w:proofErr w:type="spellEnd"/>
      <w:r w:rsidR="001E1F98">
        <w:t xml:space="preserve">, </w:t>
      </w:r>
      <w:proofErr w:type="spellStart"/>
      <w:r w:rsidR="001E1F98">
        <w:t>dd</w:t>
      </w:r>
      <w:proofErr w:type="spellEnd"/>
      <w:r w:rsidR="001E1F98">
        <w:t>-mm-</w:t>
      </w:r>
      <w:proofErr w:type="spellStart"/>
      <w:r w:rsidR="001E1F98">
        <w:t>yyyy</w:t>
      </w:r>
      <w:proofErr w:type="spellEnd"/>
      <w:r w:rsidR="001E1F98">
        <w:t xml:space="preserve"> </w:t>
      </w:r>
      <w:r w:rsidR="001E1F98">
        <w:rPr>
          <w:lang w:val="bg-BG"/>
        </w:rPr>
        <w:t xml:space="preserve">или </w:t>
      </w:r>
      <w:proofErr w:type="spellStart"/>
      <w:r w:rsidR="00A10496">
        <w:t>dd</w:t>
      </w:r>
      <w:proofErr w:type="spellEnd"/>
      <w:r w:rsidR="00A10496">
        <w:t>/mm/</w:t>
      </w:r>
      <w:proofErr w:type="spellStart"/>
      <w:r w:rsidR="00A10496">
        <w:t>yyyy</w:t>
      </w:r>
      <w:proofErr w:type="spellEnd"/>
      <w:r w:rsidR="00A10496">
        <w:rPr>
          <w:lang w:val="bg-BG"/>
        </w:rPr>
        <w:t xml:space="preserve">. В случай, че датите не са попълнени в някой от допустимите формати, </w:t>
      </w:r>
      <w:r w:rsidR="00A10496">
        <w:t xml:space="preserve">Excel </w:t>
      </w:r>
      <w:r w:rsidR="00A10496">
        <w:rPr>
          <w:lang w:val="bg-BG"/>
        </w:rPr>
        <w:t>ще изпише грешка.</w:t>
      </w:r>
    </w:p>
    <w:p w:rsidR="0036482A" w:rsidRPr="00DD3D07" w:rsidRDefault="0036482A" w:rsidP="00285215">
      <w:pPr>
        <w:pStyle w:val="Heading2"/>
        <w:ind w:left="0" w:right="0" w:firstLine="837"/>
        <w:jc w:val="both"/>
        <w:rPr>
          <w:b w:val="0"/>
        </w:rPr>
      </w:pPr>
    </w:p>
    <w:sectPr w:rsidR="0036482A" w:rsidRPr="00DD3D07">
      <w:footerReference w:type="even" r:id="rId8"/>
      <w:footerReference w:type="default" r:id="rId9"/>
      <w:footerReference w:type="first" r:id="rId10"/>
      <w:pgSz w:w="12240" w:h="15840"/>
      <w:pgMar w:top="1421" w:right="1176" w:bottom="1456" w:left="1416"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DB" w:rsidRDefault="00CC42DB">
      <w:pPr>
        <w:spacing w:after="0" w:line="240" w:lineRule="auto"/>
      </w:pPr>
      <w:r>
        <w:separator/>
      </w:r>
    </w:p>
  </w:endnote>
  <w:endnote w:type="continuationSeparator" w:id="0">
    <w:p w:rsidR="00CC42DB" w:rsidRDefault="00CC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A" w:rsidRDefault="00014794">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23E0A" w:rsidRDefault="00014794">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A" w:rsidRDefault="00014794">
    <w:pPr>
      <w:spacing w:after="0" w:line="259" w:lineRule="auto"/>
      <w:ind w:right="3" w:firstLine="0"/>
      <w:jc w:val="right"/>
    </w:pPr>
    <w:r>
      <w:fldChar w:fldCharType="begin"/>
    </w:r>
    <w:r>
      <w:instrText xml:space="preserve"> PAGE   \* MERGEFORMAT </w:instrText>
    </w:r>
    <w:r>
      <w:fldChar w:fldCharType="separate"/>
    </w:r>
    <w:r w:rsidR="00A32CFD" w:rsidRPr="00A32CFD">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F23E0A" w:rsidRDefault="00014794">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A" w:rsidRDefault="00014794">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23E0A" w:rsidRDefault="00014794">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DB" w:rsidRDefault="00CC42DB">
      <w:pPr>
        <w:spacing w:after="0" w:line="240" w:lineRule="auto"/>
      </w:pPr>
      <w:r>
        <w:separator/>
      </w:r>
    </w:p>
  </w:footnote>
  <w:footnote w:type="continuationSeparator" w:id="0">
    <w:p w:rsidR="00CC42DB" w:rsidRDefault="00CC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0A2"/>
    <w:multiLevelType w:val="hybridMultilevel"/>
    <w:tmpl w:val="990C056A"/>
    <w:lvl w:ilvl="0" w:tplc="04F20816">
      <w:start w:val="1"/>
      <w:numFmt w:val="decimal"/>
      <w:lvlText w:val="%1."/>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C5828">
      <w:start w:val="1"/>
      <w:numFmt w:val="lowerLetter"/>
      <w:lvlText w:val="%2"/>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873D4">
      <w:start w:val="1"/>
      <w:numFmt w:val="lowerRoman"/>
      <w:lvlText w:val="%3"/>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851C8">
      <w:start w:val="1"/>
      <w:numFmt w:val="decimal"/>
      <w:lvlText w:val="%4"/>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CCAB2">
      <w:start w:val="1"/>
      <w:numFmt w:val="lowerLetter"/>
      <w:lvlText w:val="%5"/>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C1CFC">
      <w:start w:val="1"/>
      <w:numFmt w:val="lowerRoman"/>
      <w:lvlText w:val="%6"/>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A5DB6">
      <w:start w:val="1"/>
      <w:numFmt w:val="decimal"/>
      <w:lvlText w:val="%7"/>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E1C0C">
      <w:start w:val="1"/>
      <w:numFmt w:val="lowerLetter"/>
      <w:lvlText w:val="%8"/>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8D152">
      <w:start w:val="1"/>
      <w:numFmt w:val="lowerRoman"/>
      <w:lvlText w:val="%9"/>
      <w:lvlJc w:val="left"/>
      <w:pPr>
        <w:ind w:left="7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3573BE"/>
    <w:multiLevelType w:val="hybridMultilevel"/>
    <w:tmpl w:val="0272319C"/>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 w15:restartNumberingAfterBreak="0">
    <w:nsid w:val="433C2890"/>
    <w:multiLevelType w:val="hybridMultilevel"/>
    <w:tmpl w:val="C30C422C"/>
    <w:lvl w:ilvl="0" w:tplc="1BB2CBFA">
      <w:start w:val="1"/>
      <w:numFmt w:val="decimal"/>
      <w:lvlText w:val="%1."/>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04EAE">
      <w:start w:val="1"/>
      <w:numFmt w:val="lowerLetter"/>
      <w:lvlText w:val="%2"/>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A08A8">
      <w:start w:val="1"/>
      <w:numFmt w:val="lowerRoman"/>
      <w:lvlText w:val="%3"/>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22C2">
      <w:start w:val="1"/>
      <w:numFmt w:val="decimal"/>
      <w:lvlText w:val="%4"/>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82F4C">
      <w:start w:val="1"/>
      <w:numFmt w:val="lowerLetter"/>
      <w:lvlText w:val="%5"/>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810BA">
      <w:start w:val="1"/>
      <w:numFmt w:val="lowerRoman"/>
      <w:lvlText w:val="%6"/>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02462">
      <w:start w:val="1"/>
      <w:numFmt w:val="decimal"/>
      <w:lvlText w:val="%7"/>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03400">
      <w:start w:val="1"/>
      <w:numFmt w:val="lowerLetter"/>
      <w:lvlText w:val="%8"/>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041B0">
      <w:start w:val="1"/>
      <w:numFmt w:val="lowerRoman"/>
      <w:lvlText w:val="%9"/>
      <w:lvlJc w:val="left"/>
      <w:pPr>
        <w:ind w:left="7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1A5708"/>
    <w:multiLevelType w:val="hybridMultilevel"/>
    <w:tmpl w:val="238E775A"/>
    <w:lvl w:ilvl="0" w:tplc="5DF61994">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EA2EC">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D65874">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AF0F0">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010DE">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A57D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0DF9E">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182168">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4AFF1A">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2F5E1D"/>
    <w:multiLevelType w:val="hybridMultilevel"/>
    <w:tmpl w:val="6D56F66C"/>
    <w:lvl w:ilvl="0" w:tplc="438A93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6F50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D7C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CCA05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C8FE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09E5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861A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82A2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8972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3119A7"/>
    <w:multiLevelType w:val="hybridMultilevel"/>
    <w:tmpl w:val="C9460A9E"/>
    <w:lvl w:ilvl="0" w:tplc="CDB634F0">
      <w:start w:val="6"/>
      <w:numFmt w:val="decimal"/>
      <w:lvlText w:val="%1."/>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6FFB4">
      <w:start w:val="1"/>
      <w:numFmt w:val="lowerLetter"/>
      <w:lvlText w:val="%2"/>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21962">
      <w:start w:val="1"/>
      <w:numFmt w:val="lowerRoman"/>
      <w:lvlText w:val="%3"/>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E9D2">
      <w:start w:val="1"/>
      <w:numFmt w:val="decimal"/>
      <w:lvlText w:val="%4"/>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ACCFC">
      <w:start w:val="1"/>
      <w:numFmt w:val="lowerLetter"/>
      <w:lvlText w:val="%5"/>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C593C">
      <w:start w:val="1"/>
      <w:numFmt w:val="lowerRoman"/>
      <w:lvlText w:val="%6"/>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AD78">
      <w:start w:val="1"/>
      <w:numFmt w:val="decimal"/>
      <w:lvlText w:val="%7"/>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89726">
      <w:start w:val="1"/>
      <w:numFmt w:val="lowerLetter"/>
      <w:lvlText w:val="%8"/>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6A528">
      <w:start w:val="1"/>
      <w:numFmt w:val="lowerRoman"/>
      <w:lvlText w:val="%9"/>
      <w:lvlJc w:val="left"/>
      <w:pPr>
        <w:ind w:left="7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D0798C"/>
    <w:multiLevelType w:val="hybridMultilevel"/>
    <w:tmpl w:val="8AD6D91A"/>
    <w:lvl w:ilvl="0" w:tplc="2BC6D2EA">
      <w:start w:val="1"/>
      <w:numFmt w:val="decimal"/>
      <w:lvlText w:val="%1."/>
      <w:lvlJc w:val="left"/>
      <w:pPr>
        <w:ind w:left="20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0A"/>
    <w:rsid w:val="00014794"/>
    <w:rsid w:val="00053685"/>
    <w:rsid w:val="000C7D5F"/>
    <w:rsid w:val="000D4D8D"/>
    <w:rsid w:val="00126403"/>
    <w:rsid w:val="001272A0"/>
    <w:rsid w:val="00151082"/>
    <w:rsid w:val="00165CF5"/>
    <w:rsid w:val="001733F1"/>
    <w:rsid w:val="00190879"/>
    <w:rsid w:val="001D3DFE"/>
    <w:rsid w:val="001E1F98"/>
    <w:rsid w:val="001F1FFC"/>
    <w:rsid w:val="00224205"/>
    <w:rsid w:val="00244165"/>
    <w:rsid w:val="00255BB6"/>
    <w:rsid w:val="002838AC"/>
    <w:rsid w:val="00285215"/>
    <w:rsid w:val="002952F3"/>
    <w:rsid w:val="00304CFC"/>
    <w:rsid w:val="0036482A"/>
    <w:rsid w:val="00416D08"/>
    <w:rsid w:val="00456B29"/>
    <w:rsid w:val="00493122"/>
    <w:rsid w:val="004A5E1E"/>
    <w:rsid w:val="004A69D2"/>
    <w:rsid w:val="00512E45"/>
    <w:rsid w:val="005154E6"/>
    <w:rsid w:val="00542C63"/>
    <w:rsid w:val="00543E5C"/>
    <w:rsid w:val="00572F27"/>
    <w:rsid w:val="00577306"/>
    <w:rsid w:val="005A445C"/>
    <w:rsid w:val="005C23A6"/>
    <w:rsid w:val="00625A20"/>
    <w:rsid w:val="00653F42"/>
    <w:rsid w:val="006644D8"/>
    <w:rsid w:val="00696DCE"/>
    <w:rsid w:val="007208EB"/>
    <w:rsid w:val="007775DE"/>
    <w:rsid w:val="007C7530"/>
    <w:rsid w:val="007D5D47"/>
    <w:rsid w:val="00801B47"/>
    <w:rsid w:val="00877C74"/>
    <w:rsid w:val="008E620B"/>
    <w:rsid w:val="00957EDA"/>
    <w:rsid w:val="00995B12"/>
    <w:rsid w:val="009967A1"/>
    <w:rsid w:val="009D2B08"/>
    <w:rsid w:val="00A07D0E"/>
    <w:rsid w:val="00A10496"/>
    <w:rsid w:val="00A23F6B"/>
    <w:rsid w:val="00A32CFD"/>
    <w:rsid w:val="00A40F24"/>
    <w:rsid w:val="00A62E30"/>
    <w:rsid w:val="00A83A32"/>
    <w:rsid w:val="00AB193E"/>
    <w:rsid w:val="00AD3DD9"/>
    <w:rsid w:val="00AF2DA2"/>
    <w:rsid w:val="00B2080A"/>
    <w:rsid w:val="00B40BF6"/>
    <w:rsid w:val="00BC11C4"/>
    <w:rsid w:val="00BD2565"/>
    <w:rsid w:val="00C8173F"/>
    <w:rsid w:val="00C869CC"/>
    <w:rsid w:val="00CC0E28"/>
    <w:rsid w:val="00CC2A6D"/>
    <w:rsid w:val="00CC42DB"/>
    <w:rsid w:val="00D4142A"/>
    <w:rsid w:val="00D45CD8"/>
    <w:rsid w:val="00D74A3C"/>
    <w:rsid w:val="00D96307"/>
    <w:rsid w:val="00DD3D07"/>
    <w:rsid w:val="00E163EE"/>
    <w:rsid w:val="00E27276"/>
    <w:rsid w:val="00E5390E"/>
    <w:rsid w:val="00E54219"/>
    <w:rsid w:val="00E63415"/>
    <w:rsid w:val="00E9303B"/>
    <w:rsid w:val="00F23E0A"/>
    <w:rsid w:val="00F53623"/>
    <w:rsid w:val="00FE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338E"/>
  <w15:docId w15:val="{65720687-1CDA-478B-8E5B-EE357053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67" w:lineRule="auto"/>
      <w:ind w:right="5" w:firstLine="84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9"/>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pacing w:after="11" w:line="270" w:lineRule="auto"/>
      <w:ind w:left="10" w:right="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50"/>
    </w:rPr>
  </w:style>
  <w:style w:type="table" w:customStyle="1" w:styleId="TableGrid">
    <w:name w:val="TableGrid"/>
    <w:rsid w:val="00625A2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26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03"/>
    <w:rPr>
      <w:rFonts w:ascii="Segoe UI" w:eastAsia="Times New Roman" w:hAnsi="Segoe UI" w:cs="Segoe UI"/>
      <w:color w:val="000000"/>
      <w:sz w:val="18"/>
      <w:szCs w:val="18"/>
    </w:rPr>
  </w:style>
  <w:style w:type="paragraph" w:styleId="ListParagraph">
    <w:name w:val="List Paragraph"/>
    <w:basedOn w:val="Normal"/>
    <w:uiPriority w:val="34"/>
    <w:qFormat/>
    <w:rsid w:val="0012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18278">
      <w:bodyDiv w:val="1"/>
      <w:marLeft w:val="0"/>
      <w:marRight w:val="0"/>
      <w:marTop w:val="0"/>
      <w:marBottom w:val="0"/>
      <w:divBdr>
        <w:top w:val="none" w:sz="0" w:space="0" w:color="auto"/>
        <w:left w:val="none" w:sz="0" w:space="0" w:color="auto"/>
        <w:bottom w:val="none" w:sz="0" w:space="0" w:color="auto"/>
        <w:right w:val="none" w:sz="0" w:space="0" w:color="auto"/>
      </w:divBdr>
    </w:div>
    <w:div w:id="2103255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5FD9-1066-4530-B523-D6872807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10</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Vasileva</dc:creator>
  <cp:keywords/>
  <cp:lastModifiedBy>Violeta Vladimirova</cp:lastModifiedBy>
  <cp:revision>16</cp:revision>
  <dcterms:created xsi:type="dcterms:W3CDTF">2019-09-13T13:20:00Z</dcterms:created>
  <dcterms:modified xsi:type="dcterms:W3CDTF">2024-03-20T06:51:00Z</dcterms:modified>
</cp:coreProperties>
</file>